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61C4E56D" w:rsidR="00AC201B" w:rsidRDefault="00AA12A7" w:rsidP="00AA12A7">
      <w:pPr>
        <w:pStyle w:val="ConsPlusNormal"/>
        <w:spacing w:before="280" w:line="360" w:lineRule="auto"/>
        <w:jc w:val="center"/>
        <w:rPr>
          <w:b/>
        </w:rPr>
      </w:pPr>
      <w:r>
        <w:rPr>
          <w:b/>
        </w:rPr>
        <w:t>ПОЯСНИТЕЛЬНАЯ ЗАПИСКА</w:t>
      </w:r>
    </w:p>
    <w:p w14:paraId="03000000" w14:textId="668C12FD" w:rsidR="00AC201B" w:rsidRDefault="00AA12A7" w:rsidP="00AA12A7">
      <w:pPr>
        <w:pStyle w:val="ConsPlusNormal"/>
        <w:spacing w:before="280" w:line="360" w:lineRule="auto"/>
        <w:jc w:val="center"/>
        <w:rPr>
          <w:b/>
        </w:rPr>
      </w:pPr>
      <w:r>
        <w:rPr>
          <w:b/>
        </w:rPr>
        <w:t>к проекту федерального закона «О внесении изменений в Ф</w:t>
      </w:r>
      <w:r>
        <w:rPr>
          <w:b/>
        </w:rPr>
        <w:t>едеральный закон «</w:t>
      </w:r>
      <w:r>
        <w:rPr>
          <w:b/>
        </w:rPr>
        <w:t>Об оружии»</w:t>
      </w:r>
    </w:p>
    <w:p w14:paraId="59A28154" w14:textId="77777777" w:rsidR="00AA12A7" w:rsidRDefault="00AA12A7">
      <w:pPr>
        <w:pStyle w:val="ConsPlusNormal"/>
        <w:spacing w:line="360" w:lineRule="auto"/>
        <w:ind w:firstLine="540"/>
        <w:jc w:val="both"/>
        <w:rPr>
          <w:b/>
        </w:rPr>
      </w:pPr>
    </w:p>
    <w:p w14:paraId="04000000" w14:textId="45CEF6FD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 xml:space="preserve">В соответствии со </w:t>
      </w:r>
      <w:proofErr w:type="spellStart"/>
      <w:r>
        <w:t>статьей</w:t>
      </w:r>
      <w:proofErr w:type="spellEnd"/>
      <w:r>
        <w:t xml:space="preserve"> 24 Ф</w:t>
      </w:r>
      <w:r>
        <w:t>едерального закона  «Об оружии» г</w:t>
      </w:r>
      <w:r>
        <w:t xml:space="preserve">раждане Российской Федерации могут применять имеющееся у них на законных основаниях оружие для защиты жизни, здоровья и собственности в состоянии необходимой обороны или крайней необходимости. </w:t>
      </w:r>
    </w:p>
    <w:p w14:paraId="05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proofErr w:type="spellStart"/>
      <w:proofErr w:type="gramStart"/>
      <w:r>
        <w:t>Статьей</w:t>
      </w:r>
      <w:proofErr w:type="spellEnd"/>
      <w:r>
        <w:t xml:space="preserve"> </w:t>
      </w:r>
      <w:hyperlink r:id="rId5" w:history="1">
        <w:r>
          <w:rPr>
            <w:rStyle w:val="a3"/>
            <w:color w:val="000000"/>
            <w:u w:val="none"/>
          </w:rPr>
          <w:t>13</w:t>
        </w:r>
      </w:hyperlink>
      <w:r>
        <w:t xml:space="preserve"> указанного </w:t>
      </w:r>
      <w:bookmarkStart w:id="0" w:name="_GoBack"/>
      <w:r>
        <w:t>ф</w:t>
      </w:r>
      <w:bookmarkEnd w:id="0"/>
      <w:r>
        <w:t xml:space="preserve">едерального закона лицензионно-разрешительный порядок приобретения, хранения и ношения оружия, как это следует из </w:t>
      </w:r>
      <w:proofErr w:type="spellStart"/>
      <w:r>
        <w:t>ее</w:t>
      </w:r>
      <w:proofErr w:type="spellEnd"/>
      <w:r>
        <w:t xml:space="preserve"> положений, направлен на т</w:t>
      </w:r>
      <w:r>
        <w:t xml:space="preserve">о, чтобы не допустить обладания соответствующими видами оружия лицами, которые в силу тех или иных причин (состояние здоровья, отсутствие соответствующей подготовки, невозможность обеспечения </w:t>
      </w:r>
      <w:proofErr w:type="spellStart"/>
      <w:r>
        <w:t>учета</w:t>
      </w:r>
      <w:proofErr w:type="spellEnd"/>
      <w:r>
        <w:t xml:space="preserve"> и сохранности оружия и др.) не могут надлежащим образом га</w:t>
      </w:r>
      <w:r>
        <w:t>рантировать его безопасное хранение и применение, а</w:t>
      </w:r>
      <w:proofErr w:type="gramEnd"/>
      <w:r>
        <w:t xml:space="preserve"> также на то, чтобы обеспечить его строго целевое использование.</w:t>
      </w:r>
    </w:p>
    <w:p w14:paraId="06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 xml:space="preserve">При этом Конституционный Суд Российской Федерации в </w:t>
      </w:r>
      <w:hyperlink r:id="rId6" w:history="1">
        <w:r>
          <w:rPr>
            <w:rStyle w:val="a3"/>
            <w:color w:val="000000"/>
            <w:u w:val="none"/>
          </w:rPr>
          <w:t>Постановлении</w:t>
        </w:r>
      </w:hyperlink>
      <w:r>
        <w:t xml:space="preserve"> от 29 июня 2012 года N 16-П указывал, что оборот такого специфического вида имущества, как оружие, представляющее собой технические средства, конструктивно предназначенные для поражения </w:t>
      </w:r>
      <w:proofErr w:type="gramStart"/>
      <w:r>
        <w:t>живой</w:t>
      </w:r>
      <w:r>
        <w:t xml:space="preserve"> или иной цели и, следовательно, способные причинить существенный вред жизни и здоровью людей, имуществу и природе, не только </w:t>
      </w:r>
      <w:proofErr w:type="spellStart"/>
      <w:r>
        <w:t>создает</w:t>
      </w:r>
      <w:proofErr w:type="spellEnd"/>
      <w:r>
        <w:t xml:space="preserve"> повышенную опасность для этих охраняемых</w:t>
      </w:r>
      <w:r>
        <w:t xml:space="preserve"> </w:t>
      </w:r>
      <w:hyperlink r:id="rId7" w:history="1">
        <w:r>
          <w:rPr>
            <w:rStyle w:val="a3"/>
            <w:color w:val="000000"/>
            <w:u w:val="none"/>
          </w:rPr>
          <w:t>Конституцией</w:t>
        </w:r>
      </w:hyperlink>
      <w:r>
        <w:t xml:space="preserve"> Российской Федерации ценностей, но и </w:t>
      </w:r>
      <w:proofErr w:type="spellStart"/>
      <w:r>
        <w:t>сопряжен</w:t>
      </w:r>
      <w:proofErr w:type="spellEnd"/>
      <w:r>
        <w:t xml:space="preserve"> с угрозой посягательства на другие конституционно значимые ценности, в том числе основы конституционного строя, нравственность, права и законны</w:t>
      </w:r>
      <w:r>
        <w:t>е интересы граждан, безопасность государства, а потому от федерального законодателя требуется</w:t>
      </w:r>
      <w:proofErr w:type="gramEnd"/>
      <w:r>
        <w:t xml:space="preserve"> установление механизма их защиты в рамках правового режима оборота оружия.</w:t>
      </w:r>
    </w:p>
    <w:p w14:paraId="07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>Учитывая проводимую в настоящее время специальную военную операцию, и возникающие новые</w:t>
      </w:r>
      <w:r>
        <w:t xml:space="preserve"> угрозы и вызовы для безопасности государства и граждан Российской Федерации, предлагается установить дополнительные механизмы защиты в рамках режима оборота оружия. </w:t>
      </w:r>
    </w:p>
    <w:p w14:paraId="08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>Данным федеральным законом предлагается ввести следующие нормы:</w:t>
      </w:r>
    </w:p>
    <w:p w14:paraId="09000000" w14:textId="77777777" w:rsidR="00AC201B" w:rsidRDefault="00AA12A7" w:rsidP="00AA12A7">
      <w:pPr>
        <w:widowControl w:val="0"/>
        <w:spacing w:after="0" w:line="380" w:lineRule="exact"/>
        <w:ind w:firstLine="539"/>
        <w:jc w:val="both"/>
      </w:pPr>
      <w:proofErr w:type="gramStart"/>
      <w:r>
        <w:t>Лица, имеющие гражданство</w:t>
      </w:r>
      <w:r>
        <w:t xml:space="preserve"> Российской Федерации менее 10 лет, не имеют право на приобретение механических распылителей, аэрозольных и </w:t>
      </w:r>
      <w:r>
        <w:lastRenderedPageBreak/>
        <w:t xml:space="preserve">других устройств,  </w:t>
      </w:r>
      <w:proofErr w:type="spellStart"/>
      <w:r>
        <w:t>снаряженных</w:t>
      </w:r>
      <w:proofErr w:type="spellEnd"/>
      <w:r>
        <w:t xml:space="preserve"> слезоточивыми или раздражающими веществами, электрошоковых устройств и искровых разрядников, пневматического оружия с</w:t>
      </w:r>
      <w:r>
        <w:t xml:space="preserve"> дульной энергией не более 7,5 Дж и калибром 4,5 мм включительно, охотничьего метательного стрелкового оружия, а также списанного оружия. </w:t>
      </w:r>
      <w:proofErr w:type="gramEnd"/>
    </w:p>
    <w:p w14:paraId="0A000000" w14:textId="77777777" w:rsidR="00AC201B" w:rsidRDefault="00AA12A7" w:rsidP="00AA12A7">
      <w:pPr>
        <w:widowControl w:val="0"/>
        <w:spacing w:after="0" w:line="380" w:lineRule="exact"/>
        <w:ind w:firstLine="539"/>
        <w:jc w:val="both"/>
      </w:pPr>
      <w:proofErr w:type="gramStart"/>
      <w:r>
        <w:t>Лица, имеющие гражданство менее 20 лет, не имеют право на приобретение гражданского огнестрельного оружия ограниченно</w:t>
      </w:r>
      <w:r>
        <w:t>го поражения, охотничьего оружия, огнестрельного гладкоствольного оружия самообороны, спортивного оружия, охотничьего огнестрельного  оружия и охотничьего огнестрельного длинноствольного оружия  с нарезным стволом для занятий спортом.</w:t>
      </w:r>
      <w:proofErr w:type="gramEnd"/>
    </w:p>
    <w:p w14:paraId="0B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>Данные положения не р</w:t>
      </w:r>
      <w:r>
        <w:t xml:space="preserve">аспространяется на лиц, </w:t>
      </w:r>
      <w:proofErr w:type="spellStart"/>
      <w:r>
        <w:t>приобретших</w:t>
      </w:r>
      <w:proofErr w:type="spellEnd"/>
      <w:r>
        <w:t xml:space="preserve"> гражданство Российской Федерации в результате признания их гражданами Российской Федерации в связи с принятием в Российскую Федерацию нового субъекта Российской Федерации в результате присоединения к Российской Федерации</w:t>
      </w:r>
      <w:r>
        <w:t xml:space="preserve"> иностранного государства или его части;  участников специальной военной операции</w:t>
      </w:r>
    </w:p>
    <w:p w14:paraId="0C000000" w14:textId="77777777" w:rsidR="00AC201B" w:rsidRDefault="00AA12A7" w:rsidP="00AA12A7">
      <w:pPr>
        <w:pStyle w:val="ConsPlusNormal"/>
        <w:spacing w:line="380" w:lineRule="exact"/>
        <w:ind w:firstLine="539"/>
        <w:jc w:val="both"/>
      </w:pPr>
      <w:r>
        <w:t xml:space="preserve">Действующее законодательство определяет гражданство Российской Федерации, как устойчивую правовую связь лица с Российской Федерацией, выражающуюся в совокупности их взаимных </w:t>
      </w:r>
      <w:r>
        <w:t>прав и обязанностей.  Предлагаемые  периоды нахождения в гражданстве Российской Федерации  для приобретения оружия позволит более эффективно  оценить  устойчивую правовую связь лица, получившего гражданство, с Российской Федерацией.</w:t>
      </w:r>
    </w:p>
    <w:sectPr w:rsidR="00AC201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C201B"/>
    <w:rsid w:val="00AA12A7"/>
    <w:rsid w:val="00AC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3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3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0A7FA30562CB17109D6D20EAD6AED1DBF3B32896140FB1F40C7DBE227E69DD8026682687F46B57DE5EC0LBoD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0A7FA30562CB17109D6D20EAD6AED1D8F8B62C984158B3A55973BB2A2E33CD846F3D2899F77D49D440C0BE11LFo8M" TargetMode="External"/><Relationship Id="rId5" Type="http://schemas.openxmlformats.org/officeDocument/2006/relationships/hyperlink" Target="consultantplus://offline/ref=A20A7FA30562CB17109D6D20EAD6AED1DDF8B2259B4258B3A55973BB2A2E33CD966F652391FF3718980BCFBE10E5968983FD84B6LAoE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КУЗНЕЦОВ Вадим Игоревич</cp:lastModifiedBy>
  <cp:revision>2</cp:revision>
  <cp:lastPrinted>2026-06-29T09:15:00Z</cp:lastPrinted>
  <dcterms:created xsi:type="dcterms:W3CDTF">2026-06-29T09:14:00Z</dcterms:created>
  <dcterms:modified xsi:type="dcterms:W3CDTF">2026-06-29T09:15:00Z</dcterms:modified>
</cp:coreProperties>
</file>