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A90C2E" w:rsidP="00A474D5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A474D5" w:rsidRPr="00112200" w:rsidRDefault="00A474D5" w:rsidP="00A474D5">
      <w:pPr>
        <w:pStyle w:val="a9"/>
        <w:spacing w:before="0" w:line="120" w:lineRule="exact"/>
        <w:rPr>
          <w:b/>
        </w:rPr>
      </w:pPr>
    </w:p>
    <w:p w:rsidR="00AB4C1F" w:rsidRDefault="00A90C2E" w:rsidP="00A474D5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A474D5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>О внесении изменений</w:t>
      </w:r>
      <w:r w:rsidR="00A474D5">
        <w:rPr>
          <w:rFonts w:ascii="Times New Roman" w:hAnsi="Times New Roman"/>
        </w:rPr>
        <w:t xml:space="preserve"> </w:t>
      </w:r>
      <w:r w:rsidR="00A474D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части первую и вторую Гражданского кодекса Российской Федерации</w:t>
      </w:r>
      <w:r w:rsidR="00A474D5"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A474D5" w:rsidRDefault="00A474D5" w:rsidP="00A474D5">
      <w:pPr>
        <w:pStyle w:val="aa"/>
        <w:spacing w:before="0" w:line="240" w:lineRule="exact"/>
        <w:rPr>
          <w:rFonts w:ascii="Times New Roman" w:hAnsi="Times New Roman"/>
        </w:rPr>
      </w:pPr>
    </w:p>
    <w:p w:rsidR="00A474D5" w:rsidRPr="00112200" w:rsidRDefault="00A474D5" w:rsidP="00A474D5">
      <w:pPr>
        <w:pStyle w:val="aa"/>
        <w:spacing w:before="0" w:line="240" w:lineRule="exact"/>
        <w:rPr>
          <w:rFonts w:ascii="Times New Roman" w:hAnsi="Times New Roman"/>
        </w:rPr>
      </w:pPr>
    </w:p>
    <w:p w:rsidR="00590F87" w:rsidRPr="00484DE3" w:rsidRDefault="00A90C2E" w:rsidP="00590F87">
      <w:pPr>
        <w:ind w:firstLine="709"/>
      </w:pPr>
      <w:r>
        <w:t xml:space="preserve">Проект федерального закона "О внесении изменений в части первую </w:t>
      </w:r>
      <w:r>
        <w:br/>
        <w:t xml:space="preserve">и вторую Гражданского кодекса Российской </w:t>
      </w:r>
      <w:r w:rsidRPr="00590F87">
        <w:t xml:space="preserve">Федерации" (далее - законопроект) разработан в целях расширения сферы диспозитивного регулирования Гражданского кодекса Российской Федерации (далее - Кодекс) </w:t>
      </w:r>
      <w:r>
        <w:t xml:space="preserve">в части предоставления связанных с осуществлением предпринимательской деятельности </w:t>
      </w:r>
      <w:r w:rsidRPr="00484DE3">
        <w:t xml:space="preserve">сторонам возможностей для более гибкого и оперативного урегулирования возникающих между ними </w:t>
      </w:r>
      <w:r w:rsidR="00BD4F8F" w:rsidRPr="00484DE3">
        <w:t xml:space="preserve">обязательственных </w:t>
      </w:r>
      <w:r w:rsidRPr="00484DE3">
        <w:t>правоотношений, включая в том числе формирование правовых условий для финансирования крупных инвестиционных проектов, предполагающих окупаемость за счет последующей эксплуатации сложных технологических комплексов в интересах множества пользователей.</w:t>
      </w:r>
    </w:p>
    <w:p w:rsidR="00590F87" w:rsidRPr="00484DE3" w:rsidRDefault="00A90C2E" w:rsidP="00590F87">
      <w:pPr>
        <w:ind w:firstLine="709"/>
      </w:pPr>
      <w:r w:rsidRPr="00484DE3">
        <w:t xml:space="preserve">Экономическая модель данного финансирования напрямую зависит </w:t>
      </w:r>
      <w:r w:rsidRPr="00484DE3">
        <w:br/>
        <w:t xml:space="preserve">от того, сохраняют ли свою силу обязательства будущих пользователей, заключающих долгосрочные соглашения с владельцем или эксплуатантом технологического комплекса. Отказ пользователей от своих обязательств, прекращение ими платежей или требование о возврате ранее внесенных ими платежей нарушают равновесие модели и, как следствие, создают угрозу неисполнения обязательств владельца или эксплуатанта технологического комплекса перед финансовыми институтами, предоставившими средства </w:t>
      </w:r>
      <w:r w:rsidRPr="00484DE3">
        <w:br/>
        <w:t>для создания проекта.</w:t>
      </w:r>
    </w:p>
    <w:p w:rsidR="00590F87" w:rsidRPr="00484DE3" w:rsidRDefault="00A90C2E" w:rsidP="00590F87">
      <w:pPr>
        <w:ind w:firstLine="709"/>
      </w:pPr>
      <w:r w:rsidRPr="00484DE3">
        <w:t xml:space="preserve">В настоящее время существует правовая неопределенность </w:t>
      </w:r>
      <w:r w:rsidRPr="00484DE3">
        <w:br/>
        <w:t xml:space="preserve">в вопросе о том, всегда ли субъект предпринимательской деятельности вправе отказаться от принятых на себя обязательств, не выплатив при этом полностью или частично заранее обещанных денежных сумм другой стороне </w:t>
      </w:r>
      <w:r w:rsidRPr="00484DE3">
        <w:br/>
        <w:t>или потребовав полного или частичного возврата ранее внесенных платежей.</w:t>
      </w:r>
    </w:p>
    <w:p w:rsidR="00590F87" w:rsidRPr="00484DE3" w:rsidRDefault="00A90C2E" w:rsidP="00590F87">
      <w:pPr>
        <w:ind w:firstLine="709"/>
      </w:pPr>
      <w:r w:rsidRPr="00484DE3">
        <w:t xml:space="preserve">В тех случаях, когда природа договоренностей сторон подразумевает применение пункта 3 статьи 310 Кодекса о плате за отказ от договора, </w:t>
      </w:r>
      <w:r w:rsidRPr="00484DE3">
        <w:br/>
        <w:t xml:space="preserve">в судебной практике наблюдается тенденция снижения предусмотренного договором размера такой платы. Более того, судебная практика демонстрирует </w:t>
      </w:r>
      <w:r w:rsidR="004E1917">
        <w:br/>
      </w:r>
      <w:r w:rsidRPr="00484DE3">
        <w:t>и неопределенность в вопросе о том, в каких именно обязательствах допустимо установление платы за односторонний отказ от исполнения обязательства.</w:t>
      </w:r>
    </w:p>
    <w:p w:rsidR="00590F87" w:rsidRPr="00484DE3" w:rsidRDefault="00A90C2E" w:rsidP="00590F87">
      <w:pPr>
        <w:ind w:firstLine="709"/>
      </w:pPr>
      <w:r w:rsidRPr="00484DE3">
        <w:t xml:space="preserve">Не вполне определенной с точки зрения актуальной судебной практики является и модель абонентского договора, в которой плата по договору интерпретируется скорее как плата за отдельное кредиторское право (право абонента затребовать исполнения) и не взыскивается при отсутствии запроса </w:t>
      </w:r>
      <w:r w:rsidRPr="00484DE3">
        <w:lastRenderedPageBreak/>
        <w:t xml:space="preserve">абонента, хотя в действительности она является платой за совершенные должником действия по обеспечению готовности и доступа кредитора </w:t>
      </w:r>
      <w:r w:rsidRPr="00484DE3">
        <w:br/>
        <w:t>к исполнению, должник рассчитывает в том числе и на покрытие за счет этой платы тех расходов, которые он понес, готовясь к исполнению и ожидая запроса кредитора в любую минуту.</w:t>
      </w:r>
    </w:p>
    <w:p w:rsidR="00590F87" w:rsidRDefault="00A90C2E" w:rsidP="00590F87">
      <w:pPr>
        <w:ind w:firstLine="709"/>
      </w:pPr>
      <w:r w:rsidRPr="00484DE3">
        <w:t xml:space="preserve">Законопроект содержит положения, позволяющие более четко определить экономическое существо отношений кредитора и должника в тех случаях, когда сделка между ними содержит условие "бери-или-плати" или иные нестандартные условия, не сводящиеся лишь к выплате денежного эквивалента товара или услуги в момент получения этого товара или услуги. Нормы Кодекса в редакции законопроекта позволят правоприменителю учитывать все разнообразные интересы субъектов экономической деятельности, в том числе интересы, состоящие в обеспечении эффективности планируемых долгосрочных договорных связей и возможного их досрочного прекращения. Основной идеей </w:t>
      </w:r>
      <w:r w:rsidR="004E1917">
        <w:t>законо</w:t>
      </w:r>
      <w:r w:rsidRPr="00484DE3">
        <w:t>проекта с этой точки зрения выступает неукоснительное соблюдение принципа свободы договора (статья 421 Кодекса)</w:t>
      </w:r>
      <w:r w:rsidR="00BD4F8F" w:rsidRPr="00484DE3">
        <w:t xml:space="preserve"> и его последующая реализация применительно к некоторым видам договорных отношений.</w:t>
      </w:r>
    </w:p>
    <w:p w:rsidR="00590F87" w:rsidRPr="002D7841" w:rsidRDefault="00A90C2E" w:rsidP="00590F87">
      <w:pPr>
        <w:ind w:firstLine="709"/>
      </w:pPr>
      <w:r>
        <w:t>С</w:t>
      </w:r>
      <w:r w:rsidRPr="002D7841">
        <w:t xml:space="preserve"> </w:t>
      </w:r>
      <w:r>
        <w:t>этой</w:t>
      </w:r>
      <w:r w:rsidRPr="002D7841">
        <w:t xml:space="preserve"> </w:t>
      </w:r>
      <w:r>
        <w:t>целью</w:t>
      </w:r>
      <w:r w:rsidRPr="002D7841">
        <w:t xml:space="preserve"> </w:t>
      </w:r>
      <w:r>
        <w:t>предлагается</w:t>
      </w:r>
      <w:r w:rsidR="004E1917">
        <w:t>,</w:t>
      </w:r>
      <w:r w:rsidRPr="002D7841">
        <w:t xml:space="preserve"> </w:t>
      </w:r>
      <w:r>
        <w:t>прежде</w:t>
      </w:r>
      <w:r w:rsidRPr="002D7841">
        <w:t xml:space="preserve"> </w:t>
      </w:r>
      <w:r>
        <w:t>всего</w:t>
      </w:r>
      <w:r w:rsidR="004E1917">
        <w:t>,</w:t>
      </w:r>
      <w:r w:rsidRPr="002D7841">
        <w:t xml:space="preserve"> </w:t>
      </w:r>
      <w:r>
        <w:t>более</w:t>
      </w:r>
      <w:r w:rsidRPr="002D7841">
        <w:t xml:space="preserve"> </w:t>
      </w:r>
      <w:r>
        <w:t>четкое</w:t>
      </w:r>
      <w:r w:rsidRPr="002D7841">
        <w:t xml:space="preserve"> </w:t>
      </w:r>
      <w:r w:rsidRPr="00590F87">
        <w:t xml:space="preserve">описание </w:t>
      </w:r>
      <w:r w:rsidR="004E1917">
        <w:br/>
      </w:r>
      <w:r w:rsidRPr="00590F87">
        <w:t>в Кодексе правовых последствий, применяемых по соглашению сторон при</w:t>
      </w:r>
      <w:r>
        <w:t xml:space="preserve"> прекращении </w:t>
      </w:r>
      <w:r w:rsidRPr="002D7841">
        <w:t xml:space="preserve">обязательства (пункт 3 статьи 407 Кодекса), при одностороннем </w:t>
      </w:r>
      <w:r w:rsidRPr="004E1917">
        <w:rPr>
          <w:spacing w:val="-2"/>
        </w:rPr>
        <w:t>отказе от исполнения обязательства, связанного с осуществлением его сторонами</w:t>
      </w:r>
      <w:r w:rsidRPr="002D7841">
        <w:t xml:space="preserve"> предпринимательской деятельности (пункт 3 статьи 310 Кодекса).</w:t>
      </w:r>
    </w:p>
    <w:p w:rsidR="00590F87" w:rsidRDefault="00A90C2E" w:rsidP="00590F87">
      <w:pPr>
        <w:ind w:firstLine="709"/>
      </w:pPr>
      <w:r>
        <w:t>Природа платежа абонента по абонентскому договору определена как плата за исполнение (статья 429</w:t>
      </w:r>
      <w:r w:rsidRPr="00367C5C">
        <w:rPr>
          <w:vertAlign w:val="superscript"/>
        </w:rPr>
        <w:t>4</w:t>
      </w:r>
      <w:r>
        <w:t xml:space="preserve"> Кодекса), при этом предлагается допустить уменьшение судом этой платы, если доказано, что у исполнителя отсутствовала фактическая возможность предоставить абоненту предусмотренное договором исполнение в нужном количестве или объеме.</w:t>
      </w:r>
    </w:p>
    <w:p w:rsidR="00590F87" w:rsidRDefault="00A90C2E" w:rsidP="00590F87">
      <w:pPr>
        <w:ind w:firstLine="709"/>
      </w:pPr>
      <w:r>
        <w:t>С учетом положения пункта 1 статьи 307</w:t>
      </w:r>
      <w:r w:rsidRPr="003315B3">
        <w:rPr>
          <w:vertAlign w:val="superscript"/>
        </w:rPr>
        <w:t>1</w:t>
      </w:r>
      <w:r>
        <w:t xml:space="preserve"> Кодекса, закрепляющего приоритет специальных норм об отдельных видах договоров, потребовалась также корректировка положений части второй Кодекса и приведение положений об отказе от </w:t>
      </w:r>
      <w:r w:rsidRPr="00590F87">
        <w:t>исполнения договоров в</w:t>
      </w:r>
      <w:r>
        <w:t xml:space="preserve"> соответствие с положениями законопроекта, касающимися части первой Кодекса.</w:t>
      </w:r>
    </w:p>
    <w:p w:rsidR="00590F87" w:rsidRPr="002D7841" w:rsidRDefault="00A90C2E" w:rsidP="00590F87">
      <w:pPr>
        <w:ind w:firstLine="709"/>
      </w:pPr>
      <w:r w:rsidRPr="002D7841">
        <w:t xml:space="preserve">С особыми сложностями сталкиваются стороны договоров об оказании услуг, закладывающие в сделку условие о безусловной выплате исполнителю фиксированной денежной суммы в случае отказа заказчика, но вынужденные претерпевать применение судами к их </w:t>
      </w:r>
      <w:r w:rsidRPr="00590F87">
        <w:t>правоотношению положений статьи</w:t>
      </w:r>
      <w:r w:rsidRPr="002D7841">
        <w:t xml:space="preserve"> 782 Кодекса в ее императивном истолковании.</w:t>
      </w:r>
    </w:p>
    <w:p w:rsidR="00590F87" w:rsidRPr="002D7841" w:rsidRDefault="00A90C2E" w:rsidP="00590F87">
      <w:pPr>
        <w:ind w:firstLine="709"/>
      </w:pPr>
      <w:r w:rsidRPr="002D7841">
        <w:t xml:space="preserve">В целях усиления стабильности в предпринимательских отношениях изменения предусматривают возможность ограничить исполнителя как </w:t>
      </w:r>
      <w:r w:rsidRPr="002D7841">
        <w:lastRenderedPageBreak/>
        <w:t>профессионала в соответствующей сфере деятельности, принимающего обязательство оказать услугу, в праве на немотивированный отказ от договора возмездного оказания услуг (пункт 2 статьи 782 Кодекса в редакции законопроекта). Ограничение права заказчика на отказ от договора возмездного оказания услуг противоречило бы природе услуг как предмета обязательства, в связи с этим предлагается для предпринимательских отношений предусмотреть возможность согласования сторонами договорами иных последствий отказа заказчика от договора (пункт 1 статьи 782 Кодекса в редакции законопроекта).</w:t>
      </w:r>
    </w:p>
    <w:p w:rsidR="00590F87" w:rsidRDefault="00A90C2E" w:rsidP="00590F87">
      <w:pPr>
        <w:ind w:firstLine="709"/>
      </w:pPr>
      <w:r>
        <w:t xml:space="preserve">Корректировка положений части второй </w:t>
      </w:r>
      <w:r w:rsidRPr="00213479">
        <w:t>Кодекса об отказе от исполнения договоров подряда, транспортной экспедиции, хранения, комиссии</w:t>
      </w:r>
      <w:r>
        <w:t xml:space="preserve">,  доверительного управления и простого товарищества обусловлена необходимостью обеспечения единообразного подхода к регулированию различных долгосрочных предпринимательских отношений в рамках реализации сложных инвестиционных проектов. В таких проектах договоры подряда являются ключевыми договорами, поскольку инициатор привлекает специализированных контрагентов для выполнения </w:t>
      </w:r>
      <w:r w:rsidR="004E1917">
        <w:t>строительных, инженерных, пуско</w:t>
      </w:r>
      <w:r>
        <w:t xml:space="preserve">наладочных и иных подобных работ. Договоры транспортной экспедиции заключаются для организации доставки производственного оборудования, комплектующих, а равно для организации перевозки продукции предприятия. На хранение передаются как производственное оборудование, которое не может быть смонтировано, так и продукция производственного комплекса. Договоры простого товарищества используются предпринимателями для объединения совместных усилий и ресурсов для достижения общих целей, в том числе совместного инвестирования в новые производства. Агентские договоры часто являются неотъемлемой частью единой технологической и финансовой цепочки, </w:t>
      </w:r>
      <w:r>
        <w:br/>
        <w:t xml:space="preserve">и их стабильность напрямую влияет на возможность привлечения проектного финансирования. Предоставление сторонам </w:t>
      </w:r>
      <w:r w:rsidR="005E511C">
        <w:t xml:space="preserve">указанных договоров </w:t>
      </w:r>
      <w:r>
        <w:t xml:space="preserve">права согласовать </w:t>
      </w:r>
      <w:r w:rsidR="005E511C">
        <w:t xml:space="preserve">не </w:t>
      </w:r>
      <w:r w:rsidR="005E511C" w:rsidRPr="005E511C">
        <w:t xml:space="preserve">предусмотренные законом </w:t>
      </w:r>
      <w:r w:rsidRPr="005E511C">
        <w:t>последствия отказа, включая размер компенсационных платежей, соответствует существу предпринимательского риска и не нарушает баланса интересов профессиональных участников рынка.</w:t>
      </w:r>
    </w:p>
    <w:p w:rsidR="00A06719" w:rsidRDefault="00A90C2E" w:rsidP="00A06719">
      <w:pPr>
        <w:ind w:firstLine="709"/>
      </w:pPr>
      <w:r>
        <w:t xml:space="preserve">Законопроектом предлагается </w:t>
      </w:r>
      <w:r w:rsidR="00213479">
        <w:t xml:space="preserve">также </w:t>
      </w:r>
      <w:r>
        <w:t xml:space="preserve">сбалансировать положения пункта 3 статьи 889 Кодекса о разумном сроке для исполнения поклажедателем требования хранителя взять обратно вещь, предоставив сторонам право самостоятельно определить длительность соответствующего срока с момента </w:t>
      </w:r>
      <w:r w:rsidR="00213479">
        <w:t>предъявления</w:t>
      </w:r>
      <w:r>
        <w:t xml:space="preserve"> хранителем такого требования.</w:t>
      </w:r>
    </w:p>
    <w:p w:rsidR="00590F87" w:rsidRDefault="00A90C2E" w:rsidP="00590F87">
      <w:pPr>
        <w:ind w:firstLine="709"/>
      </w:pPr>
      <w:r>
        <w:t xml:space="preserve">На рассмотрении в Совете Федерации Федерального Собрания Российской Федерации и Государственной Думе Федерального Собрания Российской Федерации отсутствуют федеральные законы (проекты федеральных законов) </w:t>
      </w:r>
      <w:r>
        <w:br/>
        <w:t>с аналогичным содержанием.</w:t>
      </w:r>
    </w:p>
    <w:p w:rsidR="00590F87" w:rsidRDefault="00A90C2E" w:rsidP="00590F87">
      <w:pPr>
        <w:ind w:firstLine="709"/>
      </w:pPr>
      <w:r>
        <w:lastRenderedPageBreak/>
        <w:t xml:space="preserve">Законопроект </w:t>
      </w:r>
      <w:r w:rsidRPr="005E511C">
        <w:t>не содержит требования,</w:t>
      </w:r>
      <w:r>
        <w:t xml:space="preserve">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590F87" w:rsidRDefault="00A90C2E" w:rsidP="00590F87">
      <w:pPr>
        <w:ind w:firstLine="709"/>
      </w:pPr>
      <w:r w:rsidRPr="00367C5C">
        <w:t xml:space="preserve">Реализация </w:t>
      </w:r>
      <w:r w:rsidR="004E1917">
        <w:t>положений, предусмотренных законопроектом,</w:t>
      </w:r>
      <w:r w:rsidRPr="00367C5C">
        <w:t xml:space="preserve">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</w:t>
      </w:r>
      <w:r>
        <w:t>.</w:t>
      </w:r>
    </w:p>
    <w:p w:rsidR="00590F87" w:rsidRDefault="00A90C2E" w:rsidP="00590F87">
      <w:pPr>
        <w:ind w:firstLine="709"/>
      </w:pPr>
      <w:r>
        <w:t xml:space="preserve">Реализация положений законопроекта будет способствовать повышению эффективности финансирования крупных инвестиционных проектов, окажет позитивное влияние на достижение целей государственных программ Российской Федерации "Экономическое развитие и инновационная экономика", "Космическая деятельность России" и </w:t>
      </w:r>
      <w:r w:rsidR="004E1917">
        <w:t>ф</w:t>
      </w:r>
      <w:r>
        <w:t>едерального проекта "Комплексная поддержка инвестиционных проектов".</w:t>
      </w:r>
    </w:p>
    <w:p w:rsidR="00590F87" w:rsidRDefault="00A90C2E" w:rsidP="00590F87">
      <w:pPr>
        <w:ind w:firstLine="709"/>
      </w:pPr>
      <w:r w:rsidRPr="005E511C">
        <w:t>Законопроект не противоречит положениям</w:t>
      </w:r>
      <w:r w:rsidRPr="00367C5C">
        <w:t xml:space="preserve"> Договора о Евразийском экономическом союзе от 29 мая 2014 г., а такж</w:t>
      </w:r>
      <w:r w:rsidRPr="005E511C">
        <w:t xml:space="preserve">е </w:t>
      </w:r>
      <w:r w:rsidR="00994206">
        <w:t>положениям</w:t>
      </w:r>
      <w:bookmarkStart w:id="0" w:name="_GoBack"/>
      <w:bookmarkEnd w:id="0"/>
      <w:r w:rsidR="004E1917">
        <w:t xml:space="preserve"> </w:t>
      </w:r>
      <w:r w:rsidRPr="005E511C">
        <w:t>иных международных договоров Российской Федерации.</w:t>
      </w: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E7325F">
      <w:headerReference w:type="default" r:id="rId8"/>
      <w:footerReference w:type="default" r:id="rId9"/>
      <w:footerReference w:type="first" r:id="rId10"/>
      <w:pgSz w:w="11907" w:h="16840" w:code="9"/>
      <w:pgMar w:top="-1135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AFB" w:rsidRDefault="00956AFB">
      <w:pPr>
        <w:spacing w:line="240" w:lineRule="auto"/>
      </w:pPr>
      <w:r>
        <w:separator/>
      </w:r>
    </w:p>
  </w:endnote>
  <w:endnote w:type="continuationSeparator" w:id="0">
    <w:p w:rsidR="00956AFB" w:rsidRDefault="00956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077A9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A90C2E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0217145-Уч-2026 (6.1)</w:t>
          </w:r>
        </w:p>
      </w:tc>
    </w:tr>
    <w:tr w:rsidR="005077A9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A90C2E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077A9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A90C2E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0217145-Уч-2026 (6.1)</w:t>
          </w:r>
        </w:p>
      </w:tc>
    </w:tr>
    <w:tr w:rsidR="005077A9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A90C2E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AFB" w:rsidRDefault="00956AFB">
      <w:pPr>
        <w:spacing w:line="240" w:lineRule="auto"/>
      </w:pPr>
      <w:r>
        <w:separator/>
      </w:r>
    </w:p>
  </w:footnote>
  <w:footnote w:type="continuationSeparator" w:id="0">
    <w:p w:rsidR="00956AFB" w:rsidRDefault="00956A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90C2E" w:rsidP="00E7325F">
    <w:pPr>
      <w:pStyle w:val="a3"/>
      <w:framePr w:h="397" w:hRule="exact" w:wrap="around" w:vAnchor="text" w:hAnchor="margin" w:xAlign="center" w:y="41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94206">
      <w:rPr>
        <w:rStyle w:val="a7"/>
        <w:noProof/>
      </w:rPr>
      <w:t>4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046AC"/>
    <w:rsid w:val="00041F37"/>
    <w:rsid w:val="00112200"/>
    <w:rsid w:val="001B7F9C"/>
    <w:rsid w:val="00213479"/>
    <w:rsid w:val="002D7841"/>
    <w:rsid w:val="00322339"/>
    <w:rsid w:val="003315B3"/>
    <w:rsid w:val="003475C3"/>
    <w:rsid w:val="003538C9"/>
    <w:rsid w:val="00367C5C"/>
    <w:rsid w:val="00384DC4"/>
    <w:rsid w:val="003C3B7D"/>
    <w:rsid w:val="003F4514"/>
    <w:rsid w:val="00484DE3"/>
    <w:rsid w:val="004A75E5"/>
    <w:rsid w:val="004B3CE4"/>
    <w:rsid w:val="004E1917"/>
    <w:rsid w:val="004E3B7E"/>
    <w:rsid w:val="005077A9"/>
    <w:rsid w:val="00590F87"/>
    <w:rsid w:val="005E511C"/>
    <w:rsid w:val="00622F85"/>
    <w:rsid w:val="00642694"/>
    <w:rsid w:val="00646649"/>
    <w:rsid w:val="00690DAC"/>
    <w:rsid w:val="006B3CDE"/>
    <w:rsid w:val="006B54EE"/>
    <w:rsid w:val="00802F2D"/>
    <w:rsid w:val="008114AC"/>
    <w:rsid w:val="00956AFB"/>
    <w:rsid w:val="00994206"/>
    <w:rsid w:val="009D1F78"/>
    <w:rsid w:val="009E2468"/>
    <w:rsid w:val="00A055C6"/>
    <w:rsid w:val="00A06719"/>
    <w:rsid w:val="00A102DB"/>
    <w:rsid w:val="00A474D5"/>
    <w:rsid w:val="00A63C78"/>
    <w:rsid w:val="00A90C2E"/>
    <w:rsid w:val="00A97EEE"/>
    <w:rsid w:val="00AA7EEC"/>
    <w:rsid w:val="00AB4C1F"/>
    <w:rsid w:val="00AC649B"/>
    <w:rsid w:val="00AF7439"/>
    <w:rsid w:val="00B37DF3"/>
    <w:rsid w:val="00B57497"/>
    <w:rsid w:val="00BD4F8F"/>
    <w:rsid w:val="00D4367B"/>
    <w:rsid w:val="00D655A6"/>
    <w:rsid w:val="00DE3D57"/>
    <w:rsid w:val="00E0425F"/>
    <w:rsid w:val="00E6678C"/>
    <w:rsid w:val="00E7325F"/>
    <w:rsid w:val="00FA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2D784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2D7841"/>
    <w:pPr>
      <w:spacing w:line="240" w:lineRule="auto"/>
    </w:pPr>
    <w:rPr>
      <w:rFonts w:ascii="Times New Roman" w:hAnsi="Times New Roman"/>
      <w:sz w:val="20"/>
    </w:rPr>
  </w:style>
  <w:style w:type="character" w:customStyle="1" w:styleId="ad">
    <w:name w:val="Текст примечания Знак"/>
    <w:basedOn w:val="a0"/>
    <w:link w:val="ac"/>
    <w:uiPriority w:val="99"/>
    <w:rsid w:val="002D78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D78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D7841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footnote reference"/>
    <w:basedOn w:val="a0"/>
    <w:uiPriority w:val="99"/>
    <w:semiHidden/>
    <w:unhideWhenUsed/>
    <w:rsid w:val="002D784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2D784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2D7841"/>
    <w:pPr>
      <w:spacing w:line="240" w:lineRule="auto"/>
    </w:pPr>
    <w:rPr>
      <w:rFonts w:ascii="Times New Roman" w:hAnsi="Times New Roman"/>
      <w:sz w:val="20"/>
    </w:rPr>
  </w:style>
  <w:style w:type="character" w:customStyle="1" w:styleId="ad">
    <w:name w:val="Текст примечания Знак"/>
    <w:basedOn w:val="a0"/>
    <w:link w:val="ac"/>
    <w:uiPriority w:val="99"/>
    <w:rsid w:val="002D78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D78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D7841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footnote reference"/>
    <w:basedOn w:val="a0"/>
    <w:uiPriority w:val="99"/>
    <w:semiHidden/>
    <w:unhideWhenUsed/>
    <w:rsid w:val="002D78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E04D7-7A8A-4272-B963-B5478DF0E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1330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26</cp:revision>
  <dcterms:created xsi:type="dcterms:W3CDTF">2022-12-14T20:20:00Z</dcterms:created>
  <dcterms:modified xsi:type="dcterms:W3CDTF">2026-06-25T09:24:00Z</dcterms:modified>
</cp:coreProperties>
</file>