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49818" w14:textId="77777777" w:rsidR="00076E1C" w:rsidRDefault="00076E1C" w:rsidP="00F26A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>П</w:t>
      </w:r>
      <w:r w:rsidR="005F6BFB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14:paraId="013694BB" w14:textId="77777777" w:rsidR="00CD047C" w:rsidRPr="00CD047C" w:rsidRDefault="00CD047C" w:rsidP="00F26A42">
      <w:pPr>
        <w:spacing w:after="0"/>
        <w:jc w:val="center"/>
        <w:rPr>
          <w:rFonts w:ascii="Times New Roman" w:hAnsi="Times New Roman" w:cs="Times New Roman"/>
          <w:b/>
          <w:sz w:val="14"/>
          <w:szCs w:val="28"/>
        </w:rPr>
      </w:pPr>
    </w:p>
    <w:p w14:paraId="1D3B8BB1" w14:textId="6540A253" w:rsidR="00076E1C" w:rsidRPr="00076E1C" w:rsidRDefault="00076E1C" w:rsidP="00525B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076E1C">
        <w:rPr>
          <w:rFonts w:ascii="Times New Roman" w:hAnsi="Times New Roman" w:cs="Times New Roman"/>
          <w:b/>
          <w:sz w:val="28"/>
          <w:szCs w:val="28"/>
        </w:rPr>
        <w:t xml:space="preserve">едерального закона </w:t>
      </w:r>
      <w:r w:rsidR="00525B47">
        <w:rPr>
          <w:rFonts w:ascii="Times New Roman" w:hAnsi="Times New Roman" w:cs="Times New Roman"/>
          <w:b/>
          <w:sz w:val="28"/>
          <w:szCs w:val="28"/>
        </w:rPr>
        <w:t>«</w:t>
      </w:r>
      <w:r w:rsidR="00525B47" w:rsidRPr="00525B47">
        <w:rPr>
          <w:rFonts w:ascii="Times New Roman" w:hAnsi="Times New Roman" w:cs="Times New Roman"/>
          <w:b/>
          <w:sz w:val="28"/>
          <w:szCs w:val="28"/>
        </w:rPr>
        <w:t>О внесении изменений в Федеральный закон</w:t>
      </w:r>
      <w:r w:rsidR="00525B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5B47" w:rsidRPr="00525B47">
        <w:rPr>
          <w:rFonts w:ascii="Times New Roman" w:hAnsi="Times New Roman" w:cs="Times New Roman"/>
          <w:b/>
          <w:sz w:val="28"/>
          <w:szCs w:val="28"/>
        </w:rPr>
        <w:t>«О несостоятельности (банкротстве)»</w:t>
      </w:r>
    </w:p>
    <w:p w14:paraId="106AB6E8" w14:textId="77777777" w:rsidR="00076E1C" w:rsidRPr="00076E1C" w:rsidRDefault="00076E1C" w:rsidP="00F26A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ADA85D9" w14:textId="1B39743B" w:rsidR="007D2C7D" w:rsidRPr="007D2C7D" w:rsidRDefault="007D2C7D" w:rsidP="007D2C7D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  <w:r w:rsidRPr="007D2C7D">
        <w:rPr>
          <w:rFonts w:ascii="Times New Roman" w:hAnsi="Times New Roman"/>
          <w:sz w:val="28"/>
        </w:rPr>
        <w:t xml:space="preserve">Институт субсидиарной ответственности в банкротстве – настоящая гроза современного российского бизнеса. Нет такого собственника предприятия или топ-менеджера, который бы не слышал о риске быть привлеченным к ответственности в банкротстве на </w:t>
      </w:r>
      <w:r w:rsidR="00C16295">
        <w:rPr>
          <w:rFonts w:ascii="Times New Roman" w:hAnsi="Times New Roman"/>
          <w:sz w:val="28"/>
        </w:rPr>
        <w:t xml:space="preserve">значительные </w:t>
      </w:r>
      <w:r w:rsidRPr="007D2C7D">
        <w:rPr>
          <w:rFonts w:ascii="Times New Roman" w:hAnsi="Times New Roman"/>
          <w:sz w:val="28"/>
        </w:rPr>
        <w:t>суммы, зачастую непосильные для выплаты в течение всей жизни.</w:t>
      </w:r>
    </w:p>
    <w:p w14:paraId="4C4D93A6" w14:textId="77777777" w:rsidR="007D2C7D" w:rsidRPr="007D2C7D" w:rsidRDefault="007D2C7D" w:rsidP="007D2C7D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  <w:r w:rsidRPr="007D2C7D">
        <w:rPr>
          <w:rFonts w:ascii="Times New Roman" w:hAnsi="Times New Roman"/>
          <w:sz w:val="28"/>
        </w:rPr>
        <w:t xml:space="preserve">В своем генезисе этот институт задумывался как средство борьбы со злоупотреблениями, недобросовестными практиками ведения дел. Но в итоге излишне строгие законодательные подходы привели к повальному, веерному привлечению к ответственности лиц, нередко являющихся невиновными в банкротстве, а также к фактической отмене института ограниченной ответственности по долгам юридического лица. </w:t>
      </w:r>
    </w:p>
    <w:p w14:paraId="57261B86" w14:textId="227AC9AA" w:rsidR="007D2C7D" w:rsidRPr="007D2C7D" w:rsidRDefault="007D2C7D" w:rsidP="007D2C7D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  <w:r w:rsidRPr="007D2C7D">
        <w:rPr>
          <w:rFonts w:ascii="Times New Roman" w:hAnsi="Times New Roman"/>
          <w:sz w:val="28"/>
        </w:rPr>
        <w:t xml:space="preserve">Согласно статистике </w:t>
      </w:r>
      <w:r w:rsidR="006135DD">
        <w:rPr>
          <w:rFonts w:ascii="Times New Roman" w:hAnsi="Times New Roman"/>
          <w:sz w:val="28"/>
        </w:rPr>
        <w:t>Единого федерального реестра сведений о банкротстве</w:t>
      </w:r>
      <w:r w:rsidRPr="007D2C7D">
        <w:rPr>
          <w:rFonts w:ascii="Times New Roman" w:hAnsi="Times New Roman"/>
          <w:sz w:val="28"/>
        </w:rPr>
        <w:t xml:space="preserve"> на протяжении последних 5 календарных лет доля решений о привлечении к субсидиарной ответственности стабильно выше 50 %, при этом в абсолютных показателях в 2025 году был поставлен условный «рекорд» по числу таких решений, количество которых впервые превысило 3 тыс., составив 3 303 случая.</w:t>
      </w:r>
    </w:p>
    <w:p w14:paraId="6BFAC3CF" w14:textId="77777777" w:rsidR="007D2C7D" w:rsidRPr="007D2C7D" w:rsidRDefault="007D2C7D" w:rsidP="007D2C7D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  <w:r w:rsidRPr="007D2C7D">
        <w:rPr>
          <w:rFonts w:ascii="Times New Roman" w:hAnsi="Times New Roman"/>
          <w:sz w:val="28"/>
        </w:rPr>
        <w:t xml:space="preserve">В то же время идея и сама суть предпринимательства состоит в ведении рисковой деятельности, что следует из его легальной дефиниции (статья 2 Гражданского кодекса Российской Федерации). Риск предполагает «право на ошибку», на неудачную инвестицию, на бизнес-просчет. Но в это же самое время риск является основой инноваций, прорывных технологических и </w:t>
      </w:r>
      <w:bookmarkStart w:id="0" w:name="_GoBack"/>
      <w:bookmarkEnd w:id="0"/>
      <w:r w:rsidRPr="007D2C7D">
        <w:rPr>
          <w:rFonts w:ascii="Times New Roman" w:hAnsi="Times New Roman"/>
          <w:sz w:val="28"/>
        </w:rPr>
        <w:t>управленческих решений, которые двигают экономику вперед, выступая залогом прогресса, лидерства и конкурентоспособности государства на международной арене.</w:t>
      </w:r>
    </w:p>
    <w:p w14:paraId="0E36DE21" w14:textId="24AACF39" w:rsidR="007D2C7D" w:rsidRPr="007D2C7D" w:rsidRDefault="007D2C7D" w:rsidP="007D2C7D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  <w:r w:rsidRPr="007D2C7D">
        <w:rPr>
          <w:rFonts w:ascii="Times New Roman" w:hAnsi="Times New Roman"/>
          <w:sz w:val="28"/>
        </w:rPr>
        <w:t>Задача законодателя</w:t>
      </w:r>
      <w:r w:rsidR="00FC3D2B">
        <w:rPr>
          <w:rFonts w:ascii="Times New Roman" w:hAnsi="Times New Roman"/>
          <w:sz w:val="28"/>
        </w:rPr>
        <w:t xml:space="preserve"> – </w:t>
      </w:r>
      <w:r w:rsidRPr="007D2C7D">
        <w:rPr>
          <w:rFonts w:ascii="Times New Roman" w:hAnsi="Times New Roman"/>
          <w:sz w:val="28"/>
        </w:rPr>
        <w:t>создать в правопорядке эффективный институциональный баланс между</w:t>
      </w:r>
      <w:r w:rsidR="001800C8">
        <w:rPr>
          <w:rFonts w:ascii="Times New Roman" w:hAnsi="Times New Roman"/>
          <w:sz w:val="28"/>
        </w:rPr>
        <w:t xml:space="preserve"> </w:t>
      </w:r>
      <w:r w:rsidRPr="007D2C7D">
        <w:rPr>
          <w:rFonts w:ascii="Times New Roman" w:hAnsi="Times New Roman"/>
          <w:sz w:val="28"/>
        </w:rPr>
        <w:t xml:space="preserve">свободой, являющейся основой развития, фундаментом духовного самоопределения личности, </w:t>
      </w:r>
      <w:r w:rsidR="000828E7">
        <w:rPr>
          <w:rFonts w:ascii="Times New Roman" w:hAnsi="Times New Roman"/>
          <w:sz w:val="28"/>
        </w:rPr>
        <w:t xml:space="preserve">и </w:t>
      </w:r>
      <w:r w:rsidRPr="007D2C7D">
        <w:rPr>
          <w:rFonts w:ascii="Times New Roman" w:hAnsi="Times New Roman"/>
          <w:sz w:val="28"/>
        </w:rPr>
        <w:t xml:space="preserve">ответственностью и ограничениями, направленными на пресечение злоупотреблений и иных форм недобросовестности. С сожалением необходимо констатировать, что в настоящее время джойстик на этой незримой шкале между свободой и ограничениями применительно к институту субсидиарной ответственности непропорционально </w:t>
      </w:r>
      <w:r w:rsidRPr="007D2C7D">
        <w:rPr>
          <w:rFonts w:ascii="Times New Roman" w:hAnsi="Times New Roman"/>
          <w:sz w:val="28"/>
        </w:rPr>
        <w:lastRenderedPageBreak/>
        <w:t xml:space="preserve">накренен ко второму краю, что приводит к разбалансировке всего института. Заложенные в действующем законодательстве о банкротстве подходы </w:t>
      </w:r>
      <w:r w:rsidR="000828E7">
        <w:rPr>
          <w:rFonts w:ascii="Times New Roman" w:hAnsi="Times New Roman"/>
          <w:sz w:val="28"/>
        </w:rPr>
        <w:br/>
      </w:r>
      <w:r w:rsidRPr="007D2C7D">
        <w:rPr>
          <w:rFonts w:ascii="Times New Roman" w:hAnsi="Times New Roman"/>
          <w:sz w:val="28"/>
        </w:rPr>
        <w:t xml:space="preserve">к субсидиарной ответственности не поощряют риск и творческую активность предпринимателей, а заглушают их, висят «дамокловым мечом» над собственниками бизнеса и </w:t>
      </w:r>
      <w:proofErr w:type="gramStart"/>
      <w:r w:rsidRPr="007D2C7D">
        <w:rPr>
          <w:rFonts w:ascii="Times New Roman" w:hAnsi="Times New Roman"/>
          <w:sz w:val="28"/>
        </w:rPr>
        <w:t>топ-менеджмента</w:t>
      </w:r>
      <w:proofErr w:type="gramEnd"/>
      <w:r w:rsidRPr="007D2C7D">
        <w:rPr>
          <w:rFonts w:ascii="Times New Roman" w:hAnsi="Times New Roman"/>
          <w:sz w:val="28"/>
        </w:rPr>
        <w:t xml:space="preserve"> при принятии того или иного управленческого решения, </w:t>
      </w:r>
      <w:proofErr w:type="spellStart"/>
      <w:r w:rsidRPr="007D2C7D">
        <w:rPr>
          <w:rFonts w:ascii="Times New Roman" w:hAnsi="Times New Roman"/>
          <w:sz w:val="28"/>
        </w:rPr>
        <w:t>дестимулируют</w:t>
      </w:r>
      <w:proofErr w:type="spellEnd"/>
      <w:r w:rsidRPr="007D2C7D">
        <w:rPr>
          <w:rFonts w:ascii="Times New Roman" w:hAnsi="Times New Roman"/>
          <w:sz w:val="28"/>
        </w:rPr>
        <w:t xml:space="preserve"> вв</w:t>
      </w:r>
      <w:r w:rsidR="000828E7">
        <w:rPr>
          <w:rFonts w:ascii="Times New Roman" w:hAnsi="Times New Roman"/>
          <w:sz w:val="28"/>
        </w:rPr>
        <w:t>едение</w:t>
      </w:r>
      <w:r w:rsidRPr="007D2C7D">
        <w:rPr>
          <w:rFonts w:ascii="Times New Roman" w:hAnsi="Times New Roman"/>
          <w:sz w:val="28"/>
        </w:rPr>
        <w:t xml:space="preserve"> передовы</w:t>
      </w:r>
      <w:r w:rsidR="000828E7">
        <w:rPr>
          <w:rFonts w:ascii="Times New Roman" w:hAnsi="Times New Roman"/>
          <w:sz w:val="28"/>
        </w:rPr>
        <w:t>х</w:t>
      </w:r>
      <w:r w:rsidRPr="007D2C7D">
        <w:rPr>
          <w:rFonts w:ascii="Times New Roman" w:hAnsi="Times New Roman"/>
          <w:sz w:val="28"/>
        </w:rPr>
        <w:t xml:space="preserve"> (и потому сопряженны</w:t>
      </w:r>
      <w:r w:rsidR="000828E7">
        <w:rPr>
          <w:rFonts w:ascii="Times New Roman" w:hAnsi="Times New Roman"/>
          <w:sz w:val="28"/>
        </w:rPr>
        <w:t>х с риском) технологи</w:t>
      </w:r>
      <w:r w:rsidR="00BA2079">
        <w:rPr>
          <w:rFonts w:ascii="Times New Roman" w:hAnsi="Times New Roman"/>
          <w:sz w:val="28"/>
        </w:rPr>
        <w:t>й</w:t>
      </w:r>
      <w:r w:rsidR="000828E7">
        <w:rPr>
          <w:rFonts w:ascii="Times New Roman" w:hAnsi="Times New Roman"/>
          <w:sz w:val="28"/>
        </w:rPr>
        <w:t xml:space="preserve"> и практик</w:t>
      </w:r>
      <w:r w:rsidRPr="007D2C7D">
        <w:rPr>
          <w:rFonts w:ascii="Times New Roman" w:hAnsi="Times New Roman"/>
          <w:sz w:val="28"/>
        </w:rPr>
        <w:t xml:space="preserve">. </w:t>
      </w:r>
    </w:p>
    <w:p w14:paraId="69F44A43" w14:textId="0290F291" w:rsidR="007D2C7D" w:rsidRPr="007D2C7D" w:rsidRDefault="00BA2079" w:rsidP="007D2C7D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  <w:r w:rsidRPr="00BA2079">
        <w:rPr>
          <w:rFonts w:ascii="Times New Roman" w:hAnsi="Times New Roman"/>
          <w:sz w:val="28"/>
        </w:rPr>
        <w:t xml:space="preserve"> федерального закона «О внесении изменений в Федеральный закон «О несостоятельности (банкротстве)» (далее – законопроект) </w:t>
      </w:r>
      <w:r w:rsidR="007D2C7D" w:rsidRPr="007D2C7D">
        <w:rPr>
          <w:rFonts w:ascii="Times New Roman" w:hAnsi="Times New Roman"/>
          <w:sz w:val="28"/>
        </w:rPr>
        <w:t>предлагает конкретные решения и шаги, направленные на нормализацию институциональной среды корпоративного управления путем сужения сферы применения института субсидиарной ответственности.</w:t>
      </w:r>
    </w:p>
    <w:p w14:paraId="5BD1E7F8" w14:textId="77777777" w:rsidR="007D2C7D" w:rsidRPr="007D2C7D" w:rsidRDefault="007D2C7D" w:rsidP="007D2C7D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  <w:r w:rsidRPr="007D2C7D">
        <w:rPr>
          <w:rFonts w:ascii="Times New Roman" w:hAnsi="Times New Roman"/>
          <w:sz w:val="28"/>
        </w:rPr>
        <w:t>Во-первых, предлагается установить, что такая ответственность может наступать только за умышленные деликты, то есть тогда, когда действия контролирующих лиц были явно и недвусмысленно направлены на причинение вреда кредиторам и не связаны с предпринимательским риском, управленческой ошибкой или даже с грубой неосторожностью, неразумностью.</w:t>
      </w:r>
    </w:p>
    <w:p w14:paraId="1EBD0A0F" w14:textId="3DD1318E" w:rsidR="007D2C7D" w:rsidRPr="007D2C7D" w:rsidRDefault="007D2C7D" w:rsidP="007D2C7D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  <w:r w:rsidRPr="007D2C7D">
        <w:rPr>
          <w:rFonts w:ascii="Times New Roman" w:hAnsi="Times New Roman"/>
          <w:sz w:val="28"/>
        </w:rPr>
        <w:t xml:space="preserve">Во-вторых, осознавая, что размер субсидиарной ответственности зачастую непропорционально выше размера фактически причиненного вреда, предлагается для случаев совместного причинения вреда в качестве базового правила для дел </w:t>
      </w:r>
      <w:r w:rsidR="00820B0E">
        <w:rPr>
          <w:rFonts w:ascii="Times New Roman" w:hAnsi="Times New Roman"/>
          <w:sz w:val="28"/>
        </w:rPr>
        <w:br/>
      </w:r>
      <w:r w:rsidRPr="007D2C7D">
        <w:rPr>
          <w:rFonts w:ascii="Times New Roman" w:hAnsi="Times New Roman"/>
          <w:sz w:val="28"/>
        </w:rPr>
        <w:t xml:space="preserve">о банкротстве установить модель долевой ответственности. На этой же основе предлагается расширить сферу применения механизма снижения размера ответственности, в том числе для случаев, когда она установлена в долях. </w:t>
      </w:r>
    </w:p>
    <w:p w14:paraId="5537A9AE" w14:textId="50EE580F" w:rsidR="007D2C7D" w:rsidRPr="007D2C7D" w:rsidRDefault="007D2C7D" w:rsidP="007D2C7D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  <w:r w:rsidRPr="007D2C7D">
        <w:rPr>
          <w:rFonts w:ascii="Times New Roman" w:hAnsi="Times New Roman"/>
          <w:sz w:val="28"/>
        </w:rPr>
        <w:t xml:space="preserve">В-третьих, взысканные суммы субсидиарной ответственности зачастую являются настолько существенными, что ответчик с учетом невозможности </w:t>
      </w:r>
      <w:r w:rsidR="001401AC">
        <w:rPr>
          <w:rFonts w:ascii="Times New Roman" w:hAnsi="Times New Roman"/>
          <w:sz w:val="28"/>
        </w:rPr>
        <w:br/>
      </w:r>
      <w:r w:rsidRPr="007D2C7D">
        <w:rPr>
          <w:rFonts w:ascii="Times New Roman" w:hAnsi="Times New Roman"/>
          <w:sz w:val="28"/>
        </w:rPr>
        <w:t xml:space="preserve">их списания по итогам процедуры личного банкротства фактически попадает </w:t>
      </w:r>
      <w:r w:rsidR="001401AC">
        <w:rPr>
          <w:rFonts w:ascii="Times New Roman" w:hAnsi="Times New Roman"/>
          <w:sz w:val="28"/>
        </w:rPr>
        <w:br/>
      </w:r>
      <w:r w:rsidRPr="007D2C7D">
        <w:rPr>
          <w:rFonts w:ascii="Times New Roman" w:hAnsi="Times New Roman"/>
          <w:sz w:val="28"/>
        </w:rPr>
        <w:t>в пожизненную «долговую кабалу» к кредитору. Это приводит к тому, что субсидиарная ответственность, будучи по природе частноправовой, становится более суровой, чем даже ответственность уголовная. С учетом этого предлагается создать механизм освобождения от такой ответственности, при этом во избежание злоупотреблений обусловить данный механизм значительным количеством критериев, только п</w:t>
      </w:r>
      <w:r w:rsidR="001401AC">
        <w:rPr>
          <w:rFonts w:ascii="Times New Roman" w:hAnsi="Times New Roman"/>
          <w:sz w:val="28"/>
        </w:rPr>
        <w:t>ри</w:t>
      </w:r>
      <w:r w:rsidRPr="007D2C7D">
        <w:rPr>
          <w:rFonts w:ascii="Times New Roman" w:hAnsi="Times New Roman"/>
          <w:sz w:val="28"/>
        </w:rPr>
        <w:t xml:space="preserve"> </w:t>
      </w:r>
      <w:proofErr w:type="gramStart"/>
      <w:r w:rsidRPr="007D2C7D">
        <w:rPr>
          <w:rFonts w:ascii="Times New Roman" w:hAnsi="Times New Roman"/>
          <w:sz w:val="28"/>
        </w:rPr>
        <w:t>выполнении</w:t>
      </w:r>
      <w:proofErr w:type="gramEnd"/>
      <w:r w:rsidRPr="007D2C7D">
        <w:rPr>
          <w:rFonts w:ascii="Times New Roman" w:hAnsi="Times New Roman"/>
          <w:sz w:val="28"/>
        </w:rPr>
        <w:t xml:space="preserve"> которых данное освобождение может быть получено. В частности, предлагается предусмотреть, что такая ответственность может быть списана не ранее окончания повторной процедуры банкротства </w:t>
      </w:r>
      <w:r w:rsidRPr="007D2C7D">
        <w:rPr>
          <w:rFonts w:ascii="Times New Roman" w:hAnsi="Times New Roman"/>
          <w:sz w:val="28"/>
        </w:rPr>
        <w:lastRenderedPageBreak/>
        <w:t xml:space="preserve">гражданина, не ранее 10 лет со дня принятия судебного акта о привлечении </w:t>
      </w:r>
      <w:r w:rsidR="001401AC">
        <w:rPr>
          <w:rFonts w:ascii="Times New Roman" w:hAnsi="Times New Roman"/>
          <w:sz w:val="28"/>
        </w:rPr>
        <w:br/>
      </w:r>
      <w:r w:rsidRPr="007D2C7D">
        <w:rPr>
          <w:rFonts w:ascii="Times New Roman" w:hAnsi="Times New Roman"/>
          <w:sz w:val="28"/>
        </w:rPr>
        <w:t>к ответственности, а также только при условии добросовестного поведения должника в процедуре банкротства.</w:t>
      </w:r>
    </w:p>
    <w:p w14:paraId="537555F2" w14:textId="77777777" w:rsidR="007D2C7D" w:rsidRPr="007D2C7D" w:rsidRDefault="007D2C7D" w:rsidP="007D2C7D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  <w:r w:rsidRPr="007D2C7D">
        <w:rPr>
          <w:rFonts w:ascii="Times New Roman" w:hAnsi="Times New Roman"/>
          <w:sz w:val="28"/>
        </w:rPr>
        <w:t>Законопроект содержит также ряд иных материальных и процедурных положений, направленных на точечное улучшение регулирования ответственности контролирующих должника лиц.</w:t>
      </w:r>
    </w:p>
    <w:p w14:paraId="576F07AB" w14:textId="62B50FA3" w:rsidR="007D2C7D" w:rsidRPr="007D2C7D" w:rsidRDefault="007D2C7D" w:rsidP="007D2C7D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  <w:r w:rsidRPr="007D2C7D">
        <w:rPr>
          <w:rFonts w:ascii="Times New Roman" w:hAnsi="Times New Roman"/>
          <w:sz w:val="28"/>
        </w:rPr>
        <w:t xml:space="preserve">При этом законопроект не предлагает освобождение от ответственности лиц, действительно виновных в банкротстве предприятия, в связи с чем его принятие, с одной стороны, сохранит на высоком уровне гарантии прав кредиторов и борьбы со злоупотреблениями контролирующих лиц, а с другой стороны, путем тонкой настройки всего института субсидиарной ответственности обеспечит формирование более справедливого правового ландшафта и позволит </w:t>
      </w:r>
      <w:r w:rsidR="001401AC">
        <w:rPr>
          <w:rFonts w:ascii="Times New Roman" w:hAnsi="Times New Roman"/>
          <w:sz w:val="28"/>
        </w:rPr>
        <w:br/>
      </w:r>
      <w:r w:rsidRPr="007D2C7D">
        <w:rPr>
          <w:rFonts w:ascii="Times New Roman" w:hAnsi="Times New Roman"/>
          <w:sz w:val="28"/>
        </w:rPr>
        <w:t>в макроэкономическом плане высвободить энергию и творческий потенциал российского предпринимательства.</w:t>
      </w:r>
    </w:p>
    <w:p w14:paraId="106586AE" w14:textId="6E56B60C" w:rsidR="00525B47" w:rsidRDefault="007D2C7D" w:rsidP="007D2C7D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  <w:r w:rsidRPr="007D2C7D">
        <w:rPr>
          <w:rFonts w:ascii="Times New Roman" w:hAnsi="Times New Roman"/>
          <w:sz w:val="28"/>
        </w:rPr>
        <w:t xml:space="preserve">Законопроект подготовлен при участии юриста, эксперта в области регулирования банкротства, председателя </w:t>
      </w:r>
      <w:r w:rsidR="00C16295">
        <w:rPr>
          <w:rFonts w:ascii="Times New Roman" w:hAnsi="Times New Roman"/>
          <w:sz w:val="28"/>
        </w:rPr>
        <w:t>Федерального к</w:t>
      </w:r>
      <w:r w:rsidRPr="007D2C7D">
        <w:rPr>
          <w:rFonts w:ascii="Times New Roman" w:hAnsi="Times New Roman"/>
          <w:sz w:val="28"/>
        </w:rPr>
        <w:t>омитета</w:t>
      </w:r>
      <w:r w:rsidR="00C16295">
        <w:rPr>
          <w:rFonts w:ascii="Times New Roman" w:hAnsi="Times New Roman"/>
          <w:sz w:val="28"/>
        </w:rPr>
        <w:t xml:space="preserve"> по законотворчеству</w:t>
      </w:r>
      <w:r w:rsidRPr="007D2C7D">
        <w:rPr>
          <w:rFonts w:ascii="Times New Roman" w:hAnsi="Times New Roman"/>
          <w:sz w:val="28"/>
        </w:rPr>
        <w:t xml:space="preserve"> Партии «Новые люди» </w:t>
      </w:r>
      <w:proofErr w:type="spellStart"/>
      <w:r w:rsidRPr="007D2C7D">
        <w:rPr>
          <w:rFonts w:ascii="Times New Roman" w:hAnsi="Times New Roman"/>
          <w:sz w:val="28"/>
        </w:rPr>
        <w:t>Горбашева</w:t>
      </w:r>
      <w:proofErr w:type="spellEnd"/>
      <w:r w:rsidRPr="007D2C7D">
        <w:rPr>
          <w:rFonts w:ascii="Times New Roman" w:hAnsi="Times New Roman"/>
          <w:sz w:val="28"/>
        </w:rPr>
        <w:t xml:space="preserve"> И.В.</w:t>
      </w:r>
    </w:p>
    <w:p w14:paraId="21EC78E3" w14:textId="77777777" w:rsidR="00525B47" w:rsidRDefault="00525B47" w:rsidP="00525B47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</w:p>
    <w:p w14:paraId="07E64E5F" w14:textId="77777777" w:rsidR="00525B47" w:rsidRDefault="00525B47" w:rsidP="00525B47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</w:p>
    <w:p w14:paraId="295944F1" w14:textId="77777777" w:rsidR="00525B47" w:rsidRDefault="00525B47" w:rsidP="00525B47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</w:p>
    <w:p w14:paraId="60B68E64" w14:textId="77777777" w:rsidR="00525B47" w:rsidRDefault="00525B47" w:rsidP="00525B47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</w:p>
    <w:p w14:paraId="56817F0C" w14:textId="77777777" w:rsidR="00525B47" w:rsidRDefault="00525B47" w:rsidP="00525B47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</w:p>
    <w:p w14:paraId="40F3DEB4" w14:textId="77777777" w:rsidR="00525B47" w:rsidRDefault="00525B47" w:rsidP="00525B47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</w:p>
    <w:p w14:paraId="66B37615" w14:textId="77777777" w:rsidR="00525B47" w:rsidRDefault="00525B47" w:rsidP="00525B47">
      <w:pPr>
        <w:spacing w:after="0" w:line="420" w:lineRule="exact"/>
        <w:ind w:right="-6" w:firstLine="709"/>
        <w:jc w:val="both"/>
        <w:rPr>
          <w:rFonts w:ascii="Times New Roman" w:hAnsi="Times New Roman"/>
          <w:sz w:val="28"/>
        </w:rPr>
      </w:pPr>
    </w:p>
    <w:p w14:paraId="46945130" w14:textId="7FE919D2" w:rsidR="002A6EDE" w:rsidRDefault="002A6EDE" w:rsidP="00B42A1D">
      <w:pPr>
        <w:spacing w:after="0" w:line="420" w:lineRule="exact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A6EDE" w:rsidSect="007D03AB">
      <w:headerReference w:type="default" r:id="rId7"/>
      <w:pgSz w:w="11900" w:h="16840"/>
      <w:pgMar w:top="851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C77C48" w14:textId="77777777" w:rsidR="008D04BA" w:rsidRDefault="008D04BA" w:rsidP="00894EC9">
      <w:pPr>
        <w:spacing w:after="0" w:line="240" w:lineRule="auto"/>
      </w:pPr>
      <w:r>
        <w:separator/>
      </w:r>
    </w:p>
  </w:endnote>
  <w:endnote w:type="continuationSeparator" w:id="0">
    <w:p w14:paraId="2EB29A2A" w14:textId="77777777" w:rsidR="008D04BA" w:rsidRDefault="008D04BA" w:rsidP="0089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1E6B4A" w14:textId="77777777" w:rsidR="008D04BA" w:rsidRDefault="008D04BA" w:rsidP="00894EC9">
      <w:pPr>
        <w:spacing w:after="0" w:line="240" w:lineRule="auto"/>
      </w:pPr>
      <w:r>
        <w:separator/>
      </w:r>
    </w:p>
  </w:footnote>
  <w:footnote w:type="continuationSeparator" w:id="0">
    <w:p w14:paraId="395F2048" w14:textId="77777777" w:rsidR="008D04BA" w:rsidRDefault="008D04BA" w:rsidP="0089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</w:rPr>
      <w:id w:val="451294027"/>
      <w:docPartObj>
        <w:docPartGallery w:val="Page Numbers (Top of Page)"/>
        <w:docPartUnique/>
      </w:docPartObj>
    </w:sdtPr>
    <w:sdtEndPr/>
    <w:sdtContent>
      <w:p w14:paraId="718A77A6" w14:textId="77777777" w:rsidR="00894EC9" w:rsidRPr="008A0615" w:rsidRDefault="00894EC9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8A0615">
          <w:rPr>
            <w:rFonts w:ascii="Times New Roman" w:hAnsi="Times New Roman" w:cs="Times New Roman"/>
            <w:sz w:val="28"/>
          </w:rPr>
          <w:fldChar w:fldCharType="begin"/>
        </w:r>
        <w:r w:rsidRPr="008A0615">
          <w:rPr>
            <w:rFonts w:ascii="Times New Roman" w:hAnsi="Times New Roman" w:cs="Times New Roman"/>
            <w:sz w:val="28"/>
          </w:rPr>
          <w:instrText>PAGE   \* MERGEFORMAT</w:instrText>
        </w:r>
        <w:r w:rsidRPr="008A0615">
          <w:rPr>
            <w:rFonts w:ascii="Times New Roman" w:hAnsi="Times New Roman" w:cs="Times New Roman"/>
            <w:sz w:val="28"/>
          </w:rPr>
          <w:fldChar w:fldCharType="separate"/>
        </w:r>
        <w:r w:rsidR="00C16295">
          <w:rPr>
            <w:rFonts w:ascii="Times New Roman" w:hAnsi="Times New Roman" w:cs="Times New Roman"/>
            <w:noProof/>
            <w:sz w:val="28"/>
          </w:rPr>
          <w:t>3</w:t>
        </w:r>
        <w:r w:rsidRPr="008A0615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681D1789" w14:textId="77777777" w:rsidR="00894EC9" w:rsidRDefault="00894E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E1C"/>
    <w:rsid w:val="00003A3D"/>
    <w:rsid w:val="000132C7"/>
    <w:rsid w:val="00013F2D"/>
    <w:rsid w:val="00017FF7"/>
    <w:rsid w:val="000233DA"/>
    <w:rsid w:val="00046D76"/>
    <w:rsid w:val="00054EF0"/>
    <w:rsid w:val="00063C14"/>
    <w:rsid w:val="000704BB"/>
    <w:rsid w:val="00076E1C"/>
    <w:rsid w:val="000828E7"/>
    <w:rsid w:val="00083486"/>
    <w:rsid w:val="00085984"/>
    <w:rsid w:val="000C7E3B"/>
    <w:rsid w:val="000D004A"/>
    <w:rsid w:val="000D3369"/>
    <w:rsid w:val="000D6664"/>
    <w:rsid w:val="000E5652"/>
    <w:rsid w:val="00101DC8"/>
    <w:rsid w:val="0010200C"/>
    <w:rsid w:val="00117A5A"/>
    <w:rsid w:val="0012176F"/>
    <w:rsid w:val="001401AC"/>
    <w:rsid w:val="0014533E"/>
    <w:rsid w:val="00164752"/>
    <w:rsid w:val="001654AC"/>
    <w:rsid w:val="00175410"/>
    <w:rsid w:val="001800C8"/>
    <w:rsid w:val="001A7C1D"/>
    <w:rsid w:val="001B0728"/>
    <w:rsid w:val="001C24AE"/>
    <w:rsid w:val="001C6766"/>
    <w:rsid w:val="001F76FC"/>
    <w:rsid w:val="00252909"/>
    <w:rsid w:val="00255C30"/>
    <w:rsid w:val="00286434"/>
    <w:rsid w:val="00293701"/>
    <w:rsid w:val="002A22B5"/>
    <w:rsid w:val="002A23F8"/>
    <w:rsid w:val="002A6EDE"/>
    <w:rsid w:val="002B00EB"/>
    <w:rsid w:val="002B3C81"/>
    <w:rsid w:val="002E5A56"/>
    <w:rsid w:val="002E75C3"/>
    <w:rsid w:val="002F7151"/>
    <w:rsid w:val="002F738D"/>
    <w:rsid w:val="00307915"/>
    <w:rsid w:val="003210F4"/>
    <w:rsid w:val="00357A01"/>
    <w:rsid w:val="0037256B"/>
    <w:rsid w:val="00380D6D"/>
    <w:rsid w:val="00380E6E"/>
    <w:rsid w:val="003B0970"/>
    <w:rsid w:val="003D052D"/>
    <w:rsid w:val="003D19AC"/>
    <w:rsid w:val="003E023C"/>
    <w:rsid w:val="003F07FC"/>
    <w:rsid w:val="003F7F75"/>
    <w:rsid w:val="00414DF3"/>
    <w:rsid w:val="004307B0"/>
    <w:rsid w:val="004529F5"/>
    <w:rsid w:val="00454D5D"/>
    <w:rsid w:val="004560AB"/>
    <w:rsid w:val="0047031C"/>
    <w:rsid w:val="0047203D"/>
    <w:rsid w:val="004732FD"/>
    <w:rsid w:val="00473430"/>
    <w:rsid w:val="00495712"/>
    <w:rsid w:val="00510FD2"/>
    <w:rsid w:val="00517D1A"/>
    <w:rsid w:val="00525B47"/>
    <w:rsid w:val="00545F6B"/>
    <w:rsid w:val="00590A42"/>
    <w:rsid w:val="005A01C7"/>
    <w:rsid w:val="005C6DC6"/>
    <w:rsid w:val="005D1E6C"/>
    <w:rsid w:val="005F6BFB"/>
    <w:rsid w:val="006056C3"/>
    <w:rsid w:val="006059AE"/>
    <w:rsid w:val="006135DD"/>
    <w:rsid w:val="00625637"/>
    <w:rsid w:val="00633B63"/>
    <w:rsid w:val="0064242A"/>
    <w:rsid w:val="0065369D"/>
    <w:rsid w:val="00662D97"/>
    <w:rsid w:val="006B0362"/>
    <w:rsid w:val="006D569E"/>
    <w:rsid w:val="006E66EC"/>
    <w:rsid w:val="006F2BF0"/>
    <w:rsid w:val="006F3BFB"/>
    <w:rsid w:val="006F3F45"/>
    <w:rsid w:val="00717768"/>
    <w:rsid w:val="00717870"/>
    <w:rsid w:val="00724533"/>
    <w:rsid w:val="00736AED"/>
    <w:rsid w:val="00746840"/>
    <w:rsid w:val="00746F9F"/>
    <w:rsid w:val="007643F9"/>
    <w:rsid w:val="00774841"/>
    <w:rsid w:val="00790416"/>
    <w:rsid w:val="007A55B1"/>
    <w:rsid w:val="007D03AB"/>
    <w:rsid w:val="007D2C7D"/>
    <w:rsid w:val="007D536B"/>
    <w:rsid w:val="007E0BD4"/>
    <w:rsid w:val="007E73AB"/>
    <w:rsid w:val="00820B0E"/>
    <w:rsid w:val="0084266E"/>
    <w:rsid w:val="00860D23"/>
    <w:rsid w:val="0089492D"/>
    <w:rsid w:val="00894EC9"/>
    <w:rsid w:val="008A0615"/>
    <w:rsid w:val="008A6165"/>
    <w:rsid w:val="008B3168"/>
    <w:rsid w:val="008B6220"/>
    <w:rsid w:val="008D04BA"/>
    <w:rsid w:val="008E1E73"/>
    <w:rsid w:val="00905866"/>
    <w:rsid w:val="0091107B"/>
    <w:rsid w:val="009164FD"/>
    <w:rsid w:val="00927FC4"/>
    <w:rsid w:val="0093556D"/>
    <w:rsid w:val="00945C38"/>
    <w:rsid w:val="009545FF"/>
    <w:rsid w:val="00955072"/>
    <w:rsid w:val="009625F1"/>
    <w:rsid w:val="00964808"/>
    <w:rsid w:val="009A3D83"/>
    <w:rsid w:val="009C55BC"/>
    <w:rsid w:val="009D10EC"/>
    <w:rsid w:val="009D1CD2"/>
    <w:rsid w:val="009D6370"/>
    <w:rsid w:val="009D701E"/>
    <w:rsid w:val="009E3141"/>
    <w:rsid w:val="009F29A5"/>
    <w:rsid w:val="00A1398C"/>
    <w:rsid w:val="00A57AC4"/>
    <w:rsid w:val="00A7644B"/>
    <w:rsid w:val="00A81036"/>
    <w:rsid w:val="00AA6FBA"/>
    <w:rsid w:val="00AA7869"/>
    <w:rsid w:val="00AC116F"/>
    <w:rsid w:val="00AC429C"/>
    <w:rsid w:val="00AE2681"/>
    <w:rsid w:val="00AE3F68"/>
    <w:rsid w:val="00AE5CD0"/>
    <w:rsid w:val="00AF2E1B"/>
    <w:rsid w:val="00B02621"/>
    <w:rsid w:val="00B15C6F"/>
    <w:rsid w:val="00B2324B"/>
    <w:rsid w:val="00B41ED0"/>
    <w:rsid w:val="00B42A1D"/>
    <w:rsid w:val="00B43D8D"/>
    <w:rsid w:val="00B44D58"/>
    <w:rsid w:val="00B544C4"/>
    <w:rsid w:val="00B762B9"/>
    <w:rsid w:val="00BA2079"/>
    <w:rsid w:val="00BB3C80"/>
    <w:rsid w:val="00BB574C"/>
    <w:rsid w:val="00BE621F"/>
    <w:rsid w:val="00BF7466"/>
    <w:rsid w:val="00C16295"/>
    <w:rsid w:val="00C179B9"/>
    <w:rsid w:val="00C31881"/>
    <w:rsid w:val="00C35B7B"/>
    <w:rsid w:val="00C46ABA"/>
    <w:rsid w:val="00C63790"/>
    <w:rsid w:val="00C64A06"/>
    <w:rsid w:val="00C70867"/>
    <w:rsid w:val="00C71DAA"/>
    <w:rsid w:val="00C85414"/>
    <w:rsid w:val="00CA089F"/>
    <w:rsid w:val="00CB0B09"/>
    <w:rsid w:val="00CC486C"/>
    <w:rsid w:val="00CD047C"/>
    <w:rsid w:val="00D154A7"/>
    <w:rsid w:val="00D3080A"/>
    <w:rsid w:val="00D3461C"/>
    <w:rsid w:val="00D672B1"/>
    <w:rsid w:val="00D7314A"/>
    <w:rsid w:val="00D7587D"/>
    <w:rsid w:val="00D8423E"/>
    <w:rsid w:val="00D84D2D"/>
    <w:rsid w:val="00DB65E1"/>
    <w:rsid w:val="00DC2513"/>
    <w:rsid w:val="00DD2D7B"/>
    <w:rsid w:val="00DD3711"/>
    <w:rsid w:val="00DD6ECA"/>
    <w:rsid w:val="00DD7214"/>
    <w:rsid w:val="00DE3A0B"/>
    <w:rsid w:val="00E0143D"/>
    <w:rsid w:val="00E15D6F"/>
    <w:rsid w:val="00E17C53"/>
    <w:rsid w:val="00E212BC"/>
    <w:rsid w:val="00E3369C"/>
    <w:rsid w:val="00E43FA3"/>
    <w:rsid w:val="00E52584"/>
    <w:rsid w:val="00E61BA6"/>
    <w:rsid w:val="00E863AD"/>
    <w:rsid w:val="00E95446"/>
    <w:rsid w:val="00EB05FB"/>
    <w:rsid w:val="00EB4B07"/>
    <w:rsid w:val="00EC1679"/>
    <w:rsid w:val="00EF750F"/>
    <w:rsid w:val="00F05FB5"/>
    <w:rsid w:val="00F26A42"/>
    <w:rsid w:val="00F427E4"/>
    <w:rsid w:val="00F509E3"/>
    <w:rsid w:val="00F67603"/>
    <w:rsid w:val="00F70291"/>
    <w:rsid w:val="00F90704"/>
    <w:rsid w:val="00FA2051"/>
    <w:rsid w:val="00FC3D2B"/>
    <w:rsid w:val="00FD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1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9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АВКСЕНТЬЕВА Сардана Владимировна</dc:creator>
  <cp:lastModifiedBy>СОЛОВЬЕВА Е.В.</cp:lastModifiedBy>
  <cp:revision>2</cp:revision>
  <cp:lastPrinted>2026-03-31T13:23:00Z</cp:lastPrinted>
  <dcterms:created xsi:type="dcterms:W3CDTF">2026-06-25T07:52:00Z</dcterms:created>
  <dcterms:modified xsi:type="dcterms:W3CDTF">2026-06-25T07:52:00Z</dcterms:modified>
</cp:coreProperties>
</file>