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FFB" w:rsidRDefault="00DB7125">
      <w:pPr>
        <w:pStyle w:val="a9"/>
        <w:spacing w:before="0"/>
      </w:pPr>
      <w:r>
        <w:t>Вносится Правительством Российской Федерации</w:t>
      </w:r>
    </w:p>
    <w:p w:rsidR="006B6FFB" w:rsidRDefault="00DB7125">
      <w:pPr>
        <w:pStyle w:val="a9"/>
        <w:ind w:left="8078" w:right="113"/>
        <w:jc w:val="center"/>
      </w:pPr>
      <w:r>
        <w:t>Проект</w:t>
      </w:r>
    </w:p>
    <w:p w:rsidR="006B6FFB" w:rsidRDefault="00DB7125">
      <w:pPr>
        <w:pStyle w:val="ab"/>
        <w:spacing w:after="760"/>
      </w:pPr>
      <w:bookmarkStart w:id="0" w:name="EditableArea"/>
      <w:r>
        <w:t>ФЕДЕРАЛЬНЫЙ ЗАКОН</w:t>
      </w:r>
    </w:p>
    <w:p w:rsidR="006B6FFB" w:rsidRDefault="00DB7125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459290534" w:edGrp="everyone"/>
      <w:r>
        <w:rPr>
          <w:rFonts w:ascii="Times New Roman" w:hAnsi="Times New Roman"/>
          <w:sz w:val="30"/>
          <w:szCs w:val="30"/>
        </w:rPr>
        <w:t xml:space="preserve">О внесении изменений в Бюджетный кодекс Российской Федерации </w:t>
      </w:r>
      <w:r>
        <w:rPr>
          <w:rFonts w:ascii="Times New Roman" w:hAnsi="Times New Roman"/>
          <w:sz w:val="30"/>
          <w:szCs w:val="30"/>
        </w:rPr>
        <w:br/>
        <w:t xml:space="preserve">и отдельные законодательные акты Российской Федерации </w:t>
      </w:r>
      <w:permEnd w:id="459290534"/>
    </w:p>
    <w:p w:rsidR="006B6FFB" w:rsidRDefault="006B6FFB">
      <w:pPr>
        <w:pStyle w:val="ConsPlusTitle"/>
        <w:widowControl/>
        <w:spacing w:line="48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permStart w:id="2136963266" w:edGrp="everyone"/>
    </w:p>
    <w:p w:rsidR="006B6FFB" w:rsidRDefault="00DB7125">
      <w:pPr>
        <w:pStyle w:val="ConsPlusTitle"/>
        <w:widowControl/>
        <w:spacing w:line="48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Статья 1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Внести в Бюджетный кодекс Российской Федерации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(Собрание законодательства Российской Федерации, 1998, № 31, ст. 3823; 2000, № 32, ст. 3339; 2002, № 22, ст. 2026; 2007, № 18, ст. 2117; № 45, ст. 5424; 2010, № 19, ст. 2291; 2013, № 19, ст. 2331; № 52, ст. 6983; 2014, № 40, ст. 5314; № 43, ст. 5795; 2015, № 51, ст. 7252; 2016, № 7, ст. 911; № 27, ст. 4278;</w:t>
      </w:r>
      <w:r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2017, № 1, ст. 7; № 14, ст. 2007; № 30, ст. 4458; № 47, ст. 6841; 2018, № 1, ст. 18; № 11, ст. 1580; № 24, ст. 3409; № 53, ст. 8430; 2019, № 16, ст. 1825; № 30, ст. 4101; № 31, ст. 4437, 4466; № 52, ст. 7797; 2020, № 29, ст. 4502; № 30, ст. 4742; № 42, ст. 6514; № 50, ст. 8068; 2021, № 27, ст. 5072, 5079; 2022, № 16, ст. 2604; № 48, ст. 8315; 2023, № 16, ст. 2765; № 32, ст. 6148; № 45, ст. 7991; 2024, № 1, ст. 9; № 8, ст. 1040;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№ 29, ст. 4106; № 53, ст. 8498; 2025, № 26, ст. 3488; № 48, ст. 7243) следующие изменения: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1) пункт 1 статьи 51 дополнить абзацем следующего содержания: 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"технологического сбора - по нормативу 100 процентов.";</w:t>
      </w:r>
    </w:p>
    <w:p w:rsidR="006B6FFB" w:rsidRDefault="00DB7125">
      <w:pPr>
        <w:pStyle w:val="af"/>
        <w:spacing w:after="0" w:line="48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 пункты 2 и 3 статьи 93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6</w:t>
      </w:r>
      <w:r>
        <w:rPr>
          <w:rFonts w:ascii="Times New Roman" w:hAnsi="Times New Roman" w:cs="Times New Roman"/>
          <w:sz w:val="30"/>
          <w:szCs w:val="30"/>
        </w:rPr>
        <w:t xml:space="preserve"> изложить в следующей редакции:</w:t>
      </w:r>
    </w:p>
    <w:p w:rsidR="006B6FFB" w:rsidRDefault="00DB7125">
      <w:pPr>
        <w:pStyle w:val="af"/>
        <w:spacing w:after="0" w:line="48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"2. Бюджетный кредит на пополнение остатка средств на едином счете бюджета предоставляется субъекту Российской Федерации (муниципальному образованию) в размере, не превышающем </w:t>
      </w:r>
      <w:r>
        <w:rPr>
          <w:rFonts w:ascii="Times New Roman" w:hAnsi="Times New Roman" w:cs="Times New Roman"/>
          <w:sz w:val="30"/>
          <w:szCs w:val="30"/>
        </w:rPr>
        <w:br/>
        <w:t xml:space="preserve">одной двенадцатой утвержденного законом (решением) о бюджете </w:t>
      </w:r>
      <w:r>
        <w:rPr>
          <w:rFonts w:ascii="Times New Roman" w:hAnsi="Times New Roman" w:cs="Times New Roman"/>
          <w:sz w:val="30"/>
          <w:szCs w:val="30"/>
        </w:rPr>
        <w:br/>
        <w:t xml:space="preserve">на соответствующий финансовый год объема доходов бюджета субъекта Российской Федерации (местного бюджета), с взиманием платы </w:t>
      </w:r>
      <w:r>
        <w:rPr>
          <w:rFonts w:ascii="Times New Roman" w:hAnsi="Times New Roman" w:cs="Times New Roman"/>
          <w:sz w:val="30"/>
          <w:szCs w:val="30"/>
        </w:rPr>
        <w:br/>
        <w:t xml:space="preserve">за пользование им по ставке, установленной федеральным законом </w:t>
      </w:r>
      <w:r>
        <w:rPr>
          <w:rFonts w:ascii="Times New Roman" w:hAnsi="Times New Roman" w:cs="Times New Roman"/>
          <w:sz w:val="30"/>
          <w:szCs w:val="30"/>
        </w:rPr>
        <w:br/>
        <w:t>о федеральном бюджете на очередной финансовый год и плановый период, и при условии его возврата не позднее последнего рабочего дня текущего финансового года.</w:t>
      </w:r>
    </w:p>
    <w:p w:rsidR="006B6FFB" w:rsidRDefault="00DB7125">
      <w:pPr>
        <w:pStyle w:val="af"/>
        <w:spacing w:after="0" w:line="48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Порядок и условия предоставления субъекту Российской Федерации (муниципальному образованию) бюджетного кредита на пополнение остатка средств на едином счете бюджета, порядок его возврата устанавливаются Правительством Российской Федерации.</w:t>
      </w:r>
    </w:p>
    <w:p w:rsidR="006B6FFB" w:rsidRDefault="00DB7125">
      <w:pPr>
        <w:pStyle w:val="af"/>
        <w:spacing w:after="0" w:line="48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3. Бюджетный кредит на пополнение остатка средств на едином счете бюджета предоставляется субъекту Российской Федерации (муниципальному образованию) на основании договора, заключаемого территориальным органом Федерального казначейства с субъектом Российской Федерации (муниципальным образованием) по форме, определяемой Федеральным казначейством.";</w:t>
      </w:r>
    </w:p>
    <w:p w:rsidR="006B6FFB" w:rsidRDefault="00DB7125">
      <w:pPr>
        <w:pStyle w:val="af"/>
        <w:spacing w:after="0" w:line="48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3) абзац первый пункта 6 статьи 161 изложить в следующей редакции:</w:t>
      </w:r>
    </w:p>
    <w:p w:rsidR="006B6FFB" w:rsidRDefault="00DB7125">
      <w:pPr>
        <w:pStyle w:val="af"/>
        <w:spacing w:after="0" w:line="48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"6. В случае уменьшения в соответствии с законодательством Российской Федерации казенному учреждению как получателю бюджетных средств ранее доведенных лимитов бюджетных обязательств, приводящего к невозможности исполнения казенным учреждением бюджетных обязательств, вытекающих из заключенных им:";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4) абзац сорок восьмой статьи 165 изложить в следующей редакции: 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"проводит мониторинг объема бюджетных ассигнований федерального бюджета, предусмотренных на предоставление субсидий юридическим лицам в соответствии с пунктами 6, 8 и 8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статьи 78, подпунктами 3 и 3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пункта 1 статьи 78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настоящего Кодекса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 направляемых на осуществление капитальных вложений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в объекты капитального строительства, на возмещение затрат в связи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с ранее осуществленными указанными юридическими лицами капитальными вложениями в объекты капитального строительства, находящиеся в собственности указанных юридических лиц или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в федеральной собственности, в рамках реализации инвестиционных проектов, общая стоимость которых составляет 1 миллиард рублей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 более, с учетом особенностей и в порядке, которые установлены Правительством Российской Федерации;";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5) в статье 242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абзац пятый пункта 3 после слов "решения налоговых органов),"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абзац третий пункта 4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в) абзац второй пункта 7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г) абзац первый пункта 8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д) абзац третий пункта 9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6) в статье 242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абзац шестой пункта 3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абзац второй пункта 6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в) абзац первый пункта 7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г) абзац третий пункта 8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7) в статье 242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5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абзац шестой пункта 3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б) абзац второй пункта 6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в) абзац первый пункта 7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г) абзац третий пункта 8 после слов "решений налоговых органов,"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8) в статье 242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6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абзац третий пункта 3 после слов "решения налогового органа,"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абзац второй пункта 6 после слов "решения налогового органа," дополнить словами "операций по исполнению публичных нормативных обязательств,";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в) абзац первый пункта 7 после слов "документов, решения налогового органа," дополнить словами "операций по исполнению публичных нормативных обязательств,".</w:t>
      </w:r>
    </w:p>
    <w:p w:rsidR="006B6FFB" w:rsidRDefault="00DB7125">
      <w:pPr>
        <w:pStyle w:val="ConsPlusTitle"/>
        <w:keepNext/>
        <w:widowControl/>
        <w:spacing w:line="48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Статья 2</w:t>
      </w:r>
    </w:p>
    <w:p w:rsidR="006B6FFB" w:rsidRDefault="00DB7125">
      <w:pPr>
        <w:pStyle w:val="ConsPlusNormal"/>
        <w:keepNext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Статью 18 Федерального закона от 8 марта 2022 года № 46-ФЗ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"О внесении изменений в отдельные законодательные акты Российской Федерации" (Собрание законодательства Российской Федерации, 2022, № 11, ст. 1596; № 13, ст. 1960; № 16, ст. 2594; № 27, ст. 4614; № 29, ст. 5293; № 52, ст. 9349; 2024, № 1, ст. 6; № 53, ст. 8504; 2025, № 31, ст. 4626) дополнить частью 7 следующего содержания: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"7. В 2026 году Правительством Российской Федерации могут быть установлены особенности применения неустойки (штрафа, пени), иных финансовых санкций, а также других мер ответственности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за неисполнение или ненадлежащее исполнение обязательств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по договорам на строительство крупнотоннажных судов, заключенным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до 1 января 2022 года.".</w:t>
      </w:r>
    </w:p>
    <w:p w:rsidR="006B6FFB" w:rsidRDefault="00DB7125">
      <w:pPr>
        <w:pStyle w:val="ConsPlusTitle"/>
        <w:widowControl/>
        <w:spacing w:line="48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Статья 3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Внести в часть 7 статьи 6 Федерального закона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от 24 июня 2025 года № 158-ФЗ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 2025, № 26, ст. 3488) следующие изменения: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1) подпункт "б" пункта 1 дополнить словами ", за исключением операций, осуществляемых на лицевых счетах, указанных </w:t>
      </w:r>
      <w:r w:rsidR="007000A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пункте 4 настоящей части"; 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2) пункты 2 и 3 изложить в следующей редакции: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"2) с 1 июля 2027 года - при открытии лицевых счетов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Федеральном казначействе и осуществлении операций на указанных лицевых счетах, предназначенных: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для учета операций со средствами бюджетных и автономных учреждений субъекта Российской Федерации (муниципальных бюджетных и автономных учреждений);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б) для учета операций со средствами получателей средств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из бюджета, источником финансового обеспечения которых являются средства, предоставленные из бюджета субъекта Российской Федерации (местного бюджета);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3) с 1 сентября 2028 года - при открытии лицевых счетов в Федеральном казначействе и осуществлении операций на указанных лицевых счетах, предназначенных: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для учета операций получателя средств бюджета субъекта Российской Федерации (местного бюджета), осуществляемых за счет средств бюджета субъекта Российской Федерации (местного бюджета);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б) для учета операций получателя средств бюджета субъекта Российской Федерации (местного бюджета), передавшего свои полномочия бюджетному (автономному) учреждению, получателю средств из бюджета (за исключением индивидуального предпринимателя и физического лица - производителя товаров, работ, услуг) в соответствии со статьей 79 Бюджетного кодекса Российской Федерации);";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3) дополнить пунктами 4 - 6 следующего содержания: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"4) с 1 сентября 2028 года - при осуществлении операций на лицевых счетах получателей средств федерального бюджета, открытие и ведение которых осуществляется органами Федерального казначейства в соответствии с требованиями законодательства Российской Федерации о защите государственной тайны;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5) с 1 апреля 2029 года - при открытии лицевых счетов в Федеральном казначействе и осуществлении операций на указанных лицевых счетах, предназначенных: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для учета операций получателя средств бюджета государственного внебюджетного фонда Российской Федерации (территориального государственного внебюджетного фонда), осуществляемых за счет средств бюджета государственного внебюджетного фонда Российской Федерации (территориального государственного внебюджетного фонда);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б) для учета операций получателя средств бюджета государственного внебюджетного фонда Российской Федерации, передавшего свои полномочия бюджетному (автономному) учреждению, получателю средств из бюджета (за исключением индивидуального предпринимателя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 физического лица - производителя товаров, работ, услуг) в соответствии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со статьей 79 Бюджетного кодекса Российской Федерации;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в) для учета операций со средствами бюджетных учреждений государственного внебюджетного фонда Российской Федерации;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6) с 1 апреля 2029 года - при открытии лицевых счетов в финансовых органах субъектов Российской Федерации (муниципальных образований), органах управления государственными внебюджетными фондами Российской Федерации и осуществлении операций на указанных лицевых счетах, предназначенных: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для учета операций получателя средств бюджета субъекта Российской Федерации (местного бюджета), осуществляемых за счет средств бюджета субъекта Российской Федерации (местного бюджета);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для учета операций получателя средств бюджета государственного внебюджетного фонда Российской Федерации, осуществляемых за счет средств бюджета государственного внебюджетного фонда Российской Федерации;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в) для учета операций получателя средств бюджета субъекта Российской Федерации (местного бюджета), передавшего свои полномочия бюджетному (автономному) учреждению, получателю средств из бюджета (за исключением индивидуального предпринимателя и физического лица - производителя товаров, работ, услуг) в соответствии со статьей 79 Бюджетного кодекса Российской Федерации;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г) для учета операций получателя средств бюджета государственного внебюджетного фонда Российской Федерации, передавшего свои полномочия бюджетному (автономному) учреждению, получателю средств из бюджета (за исключением индивидуального предпринимателя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 физического лица - производителя товаров, работ, услуг) в соответствии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со статьей 79 Бюджетного кодекса Российской Федерации;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д) для учета операций со средствами бюджетных и автономных учреждений субъекта Российской Федерации (муниципальных бюджетных и автономных учреждений);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е) для учета операций со средствами бюджетных учреждений государственного внебюджетного фонда Российской Федерации;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ж) для учета операций со средствами получателей средств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из бюджета, источником финансового обеспечения которых являются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средства, предоставленные из бюджета субъекта Российской Федерации (местного бюджета).".</w:t>
      </w:r>
    </w:p>
    <w:p w:rsidR="006B6FFB" w:rsidRDefault="00DB7125">
      <w:pPr>
        <w:pStyle w:val="ConsPlusTitle"/>
        <w:keepNext/>
        <w:widowControl/>
        <w:spacing w:line="48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Статья 4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Внести в Федеральный закон от 28 ноября 2025 года № 425-ФЗ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Федерации" (Собрание законодательства Российской Федерации, 2025, № 48, ст. 7236) следующие изменения: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1) пункты 2 и 3 статьи 6 изложить в следующей редакции: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"2) в статье 6: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часть 1 дополнить пунктом 23 следующего содержания: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"23) утверждает порядок исчисления технологического сбора, порядок и срок его уплаты, порядок и срок возврата излишне уплаченных сумм технологического сбора.";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б) часть 3 дополнить пунктами 26 и 27 следующего содержания: 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"26) утверждает перечень электронной компонентной базы (электронных модулей) и (или) промышленной продукции, содержащей электронную компонентную базу (электронные модули), в отношении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которых уплачивается технологический сбор, и размеры такого сбора;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27) утверждает методику определения размеров технологического сбора.";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3) дополнить статьей 10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"Статья 10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 </w:t>
      </w:r>
      <w:r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Технологический сбор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1. Технологический сбор уплачивается в порядке, установленном Правительством Российской Федерации, плательщиками технологического сбора за каждую единицу и (или) каждую единицу из группы электронной компонентной базы (электронных модулей) и (или) промышленной продукции, содержащей электронную компонентную базу (электронные модули), которые ввезены в Российскую Федерацию плательщиком технологического сбора или произведены на территории Российской Федерации, на континентальном шельфе Российской Федерации,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исключительной экономической зоне Российской Федерации плательщиком технологического сбора.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2. Размеры технологического сбора устанавливаются уполномоченным органом в российских рублях в виде фиксированных ценовых значений на каждую единицу и (или) каждую единицу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из группы электронной компонентной базы (электронных модулей)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 (или) промышленной продукции, содержащей электронную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компонентную базу (электронные модули), в зависимости от их кода, определенного в соответствии с единой Товарной номенклатурой внешнеэкономической деятельности Евразийского экономического союза, Общероссийским классификатором продукции по видам экономической деятельности, и наличия или отсутствия товарного знака и модели,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 (или) технических характеристик такой электронной компонентной базы (электронного модуля) и (или) промышленной продукции, содержащей электронную компонентную базу (электронные модули), в перечне, предусмотренном пунктом 26 части 3 статьи 6 настоящего Федерального закона, и составляют не более 5000 рублей.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3. Федеральный орган исполнительной власти, уполномоченный по контролю и надзору в области налогов и сборов, предоставляет уполномоченному органу информацию о сумме технологического сбора, уплаченной плательщиками такого сбора в соответствии с порядком, указанным в пункте 23 части 1 статьи 6 настоящего Федерального закона.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4. Уполномоченный орган дает письменные разъяснения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по вопросам применения законодательных и иных нормативных правовых актов Российской Федерации о технологическом сборе.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5. В случае неуплаты технологического сбора ввод в оборот электронной компонентной базы (электронных модулей)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и (или) промышленной продукции, содержащей электронную компонентную базу (электронные модули), подлежащих обязательной маркировке средствами идентификации в соответствии с законодательством Российской Федерации, не допускается, если иное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не предусмотрено настоящим Федеральным законом или принятым в соответствии с ним нормативным правовым актом Правительства Российской Федерации.".";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2) в статье 25: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в части 8 слова ", статьи 3 и 6" заменить словами "и статья 3";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дополнить частями 8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8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"8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1</w:t>
      </w:r>
      <w:r>
        <w:rPr>
          <w:rFonts w:ascii="Times New Roman" w:hAnsi="Times New Roman" w:cs="Times New Roman"/>
          <w:sz w:val="30"/>
          <w:szCs w:val="30"/>
        </w:rPr>
        <w:t xml:space="preserve">. Статья 6 настоящего Федерального закона вступает в силу </w:t>
      </w:r>
      <w:r>
        <w:rPr>
          <w:rFonts w:ascii="Times New Roman" w:hAnsi="Times New Roman" w:cs="Times New Roman"/>
          <w:sz w:val="30"/>
          <w:szCs w:val="30"/>
        </w:rPr>
        <w:br/>
        <w:t xml:space="preserve">с 1 декабря 2026 года. </w:t>
      </w:r>
    </w:p>
    <w:p w:rsidR="006B6FFB" w:rsidRDefault="00DB7125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2</w:t>
      </w:r>
      <w:r>
        <w:rPr>
          <w:rFonts w:ascii="Times New Roman" w:hAnsi="Times New Roman" w:cs="Times New Roman"/>
          <w:sz w:val="30"/>
          <w:szCs w:val="30"/>
        </w:rPr>
        <w:t xml:space="preserve">. К нормативным правовым актам Российской Федерации, принимаемым в целях реализации положений пункта 23 части 1 </w:t>
      </w:r>
      <w:r>
        <w:rPr>
          <w:rFonts w:ascii="Times New Roman" w:hAnsi="Times New Roman" w:cs="Times New Roman"/>
          <w:sz w:val="30"/>
          <w:szCs w:val="30"/>
        </w:rPr>
        <w:br/>
        <w:t>и пунктов 26 и 27 части 3 статьи 6, статьи 10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2</w:t>
      </w:r>
      <w:r>
        <w:rPr>
          <w:rFonts w:ascii="Times New Roman" w:hAnsi="Times New Roman" w:cs="Times New Roman"/>
          <w:sz w:val="30"/>
          <w:szCs w:val="30"/>
        </w:rPr>
        <w:t xml:space="preserve"> Федерального закона </w:t>
      </w:r>
      <w:r>
        <w:rPr>
          <w:rFonts w:ascii="Times New Roman" w:hAnsi="Times New Roman" w:cs="Times New Roman"/>
          <w:sz w:val="30"/>
          <w:szCs w:val="30"/>
        </w:rPr>
        <w:br/>
        <w:t xml:space="preserve">от 31 декабря 2014 года № 488-ФЗ "О промышленной политике </w:t>
      </w:r>
      <w:r>
        <w:rPr>
          <w:rFonts w:ascii="Times New Roman" w:hAnsi="Times New Roman" w:cs="Times New Roman"/>
          <w:sz w:val="30"/>
          <w:szCs w:val="30"/>
        </w:rPr>
        <w:br/>
        <w:t xml:space="preserve">в Российской Федерации" и устанавливающим обязательные требования, не применяются положения частей 1 и 4 статьи 3 Федерального закона </w:t>
      </w:r>
      <w:r>
        <w:rPr>
          <w:rFonts w:ascii="Times New Roman" w:hAnsi="Times New Roman" w:cs="Times New Roman"/>
          <w:sz w:val="30"/>
          <w:szCs w:val="30"/>
        </w:rPr>
        <w:br/>
        <w:t>от 31 июля 2020 года № 247-ФЗ "Об обязательных требованиях в Российской Федерации".".</w:t>
      </w:r>
    </w:p>
    <w:p w:rsidR="006B6FFB" w:rsidRDefault="00DB7125">
      <w:pPr>
        <w:pStyle w:val="ConsPlusTitle"/>
        <w:keepNext/>
        <w:widowControl/>
        <w:spacing w:line="48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Статья 5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Внести в Федеральный </w:t>
      </w:r>
      <w:hyperlink r:id="rId9">
        <w:r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28 ноября 2025 года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№ 431-ФЗ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 (Собрание законодательства Российской Федерации, 2025, № 48, ст. 7242) следующие изменения: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1) в статье 10: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часть 1 после слова "действие" дополнить словами "абзаца четвертого пункта 3 и";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дополнить частью 4 следующего содержания: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"4. Установить, что в 2026 году в течение срока выполнения государственного задания главный распорядитель средств федерального бюджета вправе без изменения государственного задания изменить объем субсидии, предоставленной федеральному бюджетному учреждению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на выполнение государственного задания, в части расходов по оплате труда в связи с изменением подходов к расчету размера их индексации.";</w:t>
      </w:r>
    </w:p>
    <w:p w:rsidR="006B6FFB" w:rsidRDefault="00DB7125">
      <w:pPr>
        <w:pStyle w:val="ConsPlusNormal"/>
        <w:keepNext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2) в статье 11: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 дополнить частью 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"2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. Приостановить с 1 августа по 31 декабря 2026 года включительно действие абзаца девятого статьи 50 и абзацев шестого, седьмого,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десятого и тринадцатого (за исключением акцизов на пиво, сидр,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пуаре, медовуху) пункта 2 и пунктов 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статьи 56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Бюджетного кодекса Российской Федерации (Собрание законодательства Российской Федерации, 1998, № 31, ст. 3823; 2004, № 34, ст. 3535; 2006, № 52, ст. 5503; 2007, № 50, ст. 6246; 2009, № 1, ст. 18; № 30, ст. 3739; № 39, ст. 4532; № 52, ст. 6450; 2010, № 21, ст. 2524; 2011, № 15, ст. 2041; № 49, ст. 7039; 2012, № 26, ст. 3447; № 50, ст. 6967; 2013, № 31, ст. 4191; 2014, № 30, ст. 4250; № 40, ст. 5314; № 43, ст. 5795; № 48, ст. 6655, 6664; 2016, № 22, ст. 3093; № 49, ст. 6852; 2018, № 1, ст. 18; № 11, ст. 1580; № 49, ст. 7495, 7528; 2019, № 16, ст. 1825; 2020, № 40, ст. 6168; № 42, ст. 6514; 2021, № 27, ст. 5079; № 49, ст. 8148; 2022, № 9, ст. 1254; № 29, ст. 5223; № 45, ст. 7677; № 48, ст. 8315; 2023, № 32, ст. 6148; 2024, № 29, ст. 4106; 2025, № 26, ст. 3488; № 48, ст. 7243)."; 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б) часть 3 после слова "действие" дополнить словами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"подпункта 2 пункта 3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3)</w:t>
      </w:r>
      <w:r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в статье 12: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а)</w:t>
      </w:r>
      <w:r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в части 1 слово "части" заменить словами "частей 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дополнить частью 4 следующего содержания: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"4. Установить, что в 2026 году в течение срока выполнения государственного задания главный распорядитель средств федерального бюджета вправе без изменения государственного задания изменить объем субсидии, предоставленной федеральному автономному учреждению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на выполнение государственного задания, в части расходов по оплате труда в связи с изменением подходов к расчету размера их индексации.";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4) дополнить статьей 12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6B6FFB" w:rsidRDefault="00DB7125">
      <w:pPr>
        <w:pStyle w:val="ConsPlusNormal"/>
        <w:keepNext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Статья 12</w:t>
      </w:r>
      <w:r>
        <w:rPr>
          <w:rFonts w:ascii="Times New Roman" w:hAnsi="Times New Roman" w:cs="Times New Roman"/>
          <w:b/>
          <w:color w:val="000000" w:themeColor="text1"/>
          <w:sz w:val="30"/>
          <w:szCs w:val="30"/>
          <w:vertAlign w:val="superscript"/>
        </w:rPr>
        <w:t>1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Приостановить с 1 августа по 31 декабря 2026 года включительно действие частей 5 и 7 статьи 2 Федерального закона "О федеральном бюджете на 2026 год и на плановый период 2027 и 2028 годов" (Собрание законодательства Российской Федерации, 2025, № 48, ст. 7237).";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5) в статье 14:</w:t>
      </w:r>
    </w:p>
    <w:p w:rsidR="006B6FFB" w:rsidRDefault="00DB7125">
      <w:pPr>
        <w:pStyle w:val="ConsPlusNormal"/>
        <w:keepNext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а) часть 6 после слов "юридическим лицам, федеральным автономным учреждениям," дополнить словами "а также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на перечисление средств в целях покупки ценных бумаг,";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части 9 и 10 изложить в следующей редакции: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"9. Установить, что в 2026 году федеральные унитарные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 казенные предприятия осуществляют операции со средствами, источниками которых являются доходы от их деятельности, иные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источники, не противоречащие законодательству, получаемые данными предприятиями, на лицевых счетах для учета операций получателя средств из бюджета, открытых указанным предприятиям в Федеральном казначействе в порядке, установленном Федеральным казначейством,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за исключением случаев, когда операции в соответствии с федеральными законами осуществляются на иных лицевых счетах, открытых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Федеральном казначействе, или только на счетах, открытых в кредитных организациях, а также иных случаев, установленных Правительством Российской Федерации.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10. Установить, что средства от возврата ранее произведенных предприятиями, указанными в части 9 настоящей статьи, выплат, источником финансового обеспечения которых являлись доходы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от их деятельности, иные источники, не противоречащие законодательству, а также остатки средств, образовавшиеся на 1 января 2026 года, доходы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от их деятельности, иные источники, не противоречащие законодательству, подлежат перечислению на соответствующие лицевые счета, открываемые в Федеральном казначействе в порядке, установленном Федеральным казначейством, за исключением случаев, когда операции с такими средствами в соответствии с федеральными законами осуществляются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на иных лицевых счетах, открытых в Федеральном казначействе,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или только на счетах, открытых в кредитных организациях, а также иных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случаев, установленных Правительством Российской Федерации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соответствии с частью 9 настоящей статьи.";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в) часть 11 дополнить словами ", за исключением случаев, когда операции в соответствии с федеральными законами осуществляются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на иных лицевых счетах, открытых в Федеральном казначействе, или только на счетах, открытых в кредитных организациях, а также иных случаев, установленных Правительством Российской Федерации";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г) часть 17 дополнить словами ", увеличения объема источников внутреннего финансирования дефицита федерального бюджета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в соответствии с частью 24 настоящей статьи, а также уменьшения остатков средств федерального бюджета, образовавшихся на 1 января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2026 года";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д) дополнить частями 21 - 30 следующего содержания: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"21. Установить, что с 1 августа по 31 декабря 2026 года включительно доходы от акцизов на спирт этиловый из пищевого или непищевого сырья, на спиртосодержащую продукцию, на алкогольную продукцию с объемной долей этилового спирта свыше 9 процентов,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за исключением пива, вин (кроме крепленого (ликерного) вина),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вин наливом, плодовой алкогольной продукции, игристых вин, включая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российское шампанское, а также за исключением виноградосодержащих напитков, плодовых алкогольных напитков, изготавливаемых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без добавления ректификованного этилового спирта, произведенного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из пищевого сырья, и (или) без добавления спиртованных виноградного или иного плодового сусла, и (или) без добавления дистиллятов,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 (или) без добавления крепленого (ликерного) вина, на алкогольную продукцию с объемной долей этилового спирта до 9 процентов включительно, за исключением пива, сидра, пуаре, медовухи, подлежат зачислению по следующим нормативам: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15,6 процента - в федеральный бюджет;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84,4 процента - в бюджеты субъектов Российской Федерации.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22. Установить, что с 1 августа по 31 декабря 2026 года включительно доходы, указанные в части 21 настоящей статьи, подлежащие зачислению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бюджеты субъектов Российской Федерации по нормативу, установленному указанной частью, распределяются уполномоченным органом Федерального казначейства между бюджетами субъектов Российской Федерации и бюджетом города Байконура в следующем порядке: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58 процентов доходов, указанных в абзаце первом настоящей части, - пропорционально объемам розничных продаж указанной продукции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в порядке, установленном Министерством финансов Российской Федерации;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42 процента доходов, указанных в абзаце первом настоящей части, - по нормативам, установленным в приложении к настоящему Федеральному закону.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23. Установить, что в 2026 году положения части 2 статьи 5 Федерального закона "О федеральном бюджете на 2026 год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 на плановый период 2027 и 2028 годов" в дополнение к случаям, установленным в соответствии с пунктом 4 статьи 242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27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Бюджетного кодекса Российской Федерации, не распространяются на бюджетные инвестиции, предоставляемые в соответствии со статьей 80 Бюджетного кодекса Российской Федерации юридическим лицам, определенным указом Президента Российской Федерации.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24. Установить, что в 2026 году Правительство Российской Федерации вправе принимать решения об увеличении объема источников внутреннего финансирования дефицита федерального бюджета с превышением установленного Федеральным законом "О федеральном бюджете на 2026 год и на плановый период 2027 и 2028 годов" верхнего предела государственного внутреннего долга Российской Федерации в пределах остатков средств на едином казначейском счете.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25. Установить, что в 2026 году Правительство Российской Федерации вправе принимать решения об осуществлении государственных внутренних заимствований Российской Федерации с превышением установленного Федеральным законом "О федеральном бюджете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на 2026 год и на плановый период 2027 и 2028 годов" верхнего предела государственного внутреннего долга Российской Федерации, программы государственных внутренних заимствований Российской Федерации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на 2026 год.</w:t>
      </w:r>
    </w:p>
    <w:p w:rsidR="007000AD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26. Установить, что в 2026 году в порядке, установленном Правительством Российской Федерации, Федеральное казначейство вправе провести эксперимент по предоставлению субъектам Российской Федерации бюджетного кредита</w:t>
      </w:r>
      <w:r w:rsidR="007000A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 пополнение остатка средств на едином счете бюджета, предусмотренного статьей 93</w:t>
      </w:r>
      <w:r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6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Бюджетного кодекса Российской Федерации, со сроком его возврата не позднее 5 рабочих дней месяца, следующего за месяцем, в котором указанный кредит предоставлен субъектам Российской Федерации, и платой за пользование в размере, установленном частью 3 статьи 11 Федерального закона "О федеральном бюджете на 2026 год и на плановый период 2027 и 2028 годов". Форма договора о предоставлении </w:t>
      </w:r>
      <w:r w:rsidR="0045100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субъекту </w:t>
      </w:r>
      <w:r w:rsidR="0045100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Российской </w:t>
      </w:r>
      <w:r w:rsidR="0045100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Федерации </w:t>
      </w:r>
      <w:r w:rsidR="0045100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бюджетного</w:t>
      </w:r>
    </w:p>
    <w:p w:rsidR="006B6FFB" w:rsidRDefault="00DB7125" w:rsidP="007000AD">
      <w:pPr>
        <w:pStyle w:val="ConsPlusNormal"/>
        <w:widowControl/>
        <w:spacing w:line="480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кредита на пополнение остатка средств на едином счете бюджета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соответствии с настоящей частью определяется Федеральным казначейством.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27.</w:t>
      </w:r>
      <w:r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Установить, что в 2026 году в ходе проведения проверок использования средств, источником финансового обеспечения которых являются средства федерального бюджета на реализацию государственного оборонного заказа, Федеральным казначейством составляются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 направляются государственным заказчикам государственного оборонного заказа, головным исполнителям (исполнителям) поставок продукции по государственному оборонному заказу извещения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об экономии средств государственного оборонного заказа, содержащие обоснованную позицию Федерального казначейства о цене государственного контракта (контракта). Решение о направлении использования в 2026 году экономии средств государственного оборонного заказа текущего финансового года, образовавшейся по результатам рассмотрения извещения об экономии средств государственного оборонного заказа, а также в связи с переводом цен государственных контрактов по государственному оборонному заказу в ориентировочные или фиксированные, принимается государственным заказчиком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государственного оборонного заказа по согласованию с коллегией Военно-промышленной комиссии Российской Федерации.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28. Установить, что в 2026 году Министерство иностранных дел Российской Федерации вправе открыть счет в рублях в Центральном банке Российской Федерации или кредитной организации в целях финансирования в 2026 году мероприятий по организации финансового обеспечения деятельности дипломатических представительств Российской Федерации в иностранных государствах, консульских учреждений Российской Федерации в иностранных государствах, представительств Российской Федерации при международных организациях.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29. Установить, что в 2026 году Правительство Российской Федерации вправе принимать решения об использовании бюджетных ассигнований резервного фонда Правительства Российской Федерации с применением цифрового рубля.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30. Установить, что в 2026 году на основании принятого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в соответствии с частью 12 статьи 5 Федерального закона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"О федеральном бюджете на 2026 год и на плановый период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2027 и 2028 годов" решения об использовании полностью или частично сформировавшихся на 1 января 2026 года остатков средств бюджетных инвестиций, предоставленных из федерального бюджета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в 2021 - 2024 годах Министерством строительства и жилищно-коммунального хозяйства Российской Федерации как получателем бюджетных средств из федерального бюджета акционерному обществу "Корпорация Туризм.РФ", Министерством строительства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 жилищно-коммунального хозяйства Российской Федерации совместно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с Министерством экономического развития Российской Федерации обеспечивается внесение в договоры о предоставлении указанных бюджетных инвестиций изменений, предусматривающих замену Министерства строительства и жилищно-коммунального хозяйства Российской Федерации как стороны договора - получателя средств федерального бюджета на Министерство экономического развития Российской Федерации.";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6) в статье 15: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а) часть 19 дополнить предложением следующего содержания: "Субъект Российской Федерации, уровень расчетной бюджетной обеспеченности которого, рассчитываемый в соответствии со статьей 131 Бюджетного кодекса Российской Федерации, в 2026 году до выравнивания не превышал значения 0,9, вправе направить высвобождаемые средства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в виде расходов, связанных с проведением специальной военной операции, без соблюдения требований, установленных частью 18 настоящей статьи,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в части направления не менее половины высвобождаемых средств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на финансовое обеспечение реализации инфраструктурных проектов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сфере жилищно-коммунального хозяйства (включая инфраструктурные проекты по замене лифтового оборудования в многоквартирных домах).";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б) часть 21 дополнить предложением следующего содержания: "Задолженность по бюджетным кредитам, указанная в настоящей части, подлежащая погашению в 2026 году, переносится на 2030 год.";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7) дополнить приложением следующего содержания:</w:t>
      </w:r>
    </w:p>
    <w:p w:rsidR="006B6FFB" w:rsidRDefault="00DB7125">
      <w:pPr>
        <w:spacing w:after="200" w:line="276" w:lineRule="auto"/>
        <w:jc w:val="left"/>
        <w:rPr>
          <w:rFonts w:ascii="Times New Roman" w:eastAsiaTheme="minorEastAsia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 w:themeColor="text1"/>
          <w:sz w:val="30"/>
          <w:szCs w:val="30"/>
        </w:rPr>
        <w:br w:type="page"/>
      </w:r>
    </w:p>
    <w:p w:rsidR="006B6FFB" w:rsidRDefault="00DB7125">
      <w:pPr>
        <w:spacing w:line="240" w:lineRule="atLeast"/>
        <w:ind w:left="4536"/>
        <w:jc w:val="center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lastRenderedPageBreak/>
        <w:t>"ПРИЛОЖЕНИЕ</w:t>
      </w:r>
    </w:p>
    <w:p w:rsidR="006B6FFB" w:rsidRDefault="006B6FFB">
      <w:pPr>
        <w:spacing w:line="120" w:lineRule="exact"/>
        <w:ind w:left="4536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6B6FFB" w:rsidRDefault="00DB7125">
      <w:pPr>
        <w:spacing w:line="240" w:lineRule="atLeast"/>
        <w:ind w:left="4536"/>
        <w:jc w:val="center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к Федеральному закону</w:t>
      </w:r>
    </w:p>
    <w:p w:rsidR="006B6FFB" w:rsidRDefault="00DB7125">
      <w:pPr>
        <w:spacing w:line="240" w:lineRule="atLeast"/>
        <w:ind w:left="4536"/>
        <w:jc w:val="center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"О внесении изменений в отдельные</w:t>
      </w:r>
    </w:p>
    <w:p w:rsidR="006B6FFB" w:rsidRDefault="00DB7125">
      <w:pPr>
        <w:pStyle w:val="ConsPlusNormal"/>
        <w:widowControl/>
        <w:spacing w:line="240" w:lineRule="atLeast"/>
        <w:ind w:left="4536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</w:t>
      </w:r>
    </w:p>
    <w:p w:rsidR="006B6FFB" w:rsidRDefault="006B6FFB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6B6FFB" w:rsidRDefault="00DB7125">
      <w:pPr>
        <w:pStyle w:val="ConsPlusNormal"/>
        <w:widowControl/>
        <w:spacing w:line="240" w:lineRule="atLeast"/>
        <w:jc w:val="center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Нормативы распределения </w:t>
      </w:r>
      <w:r>
        <w:rPr>
          <w:rFonts w:ascii="Times New Roman" w:hAnsi="Times New Roman"/>
          <w:b/>
          <w:sz w:val="30"/>
          <w:szCs w:val="30"/>
        </w:rPr>
        <w:t xml:space="preserve">налоговых </w:t>
      </w:r>
      <w:r>
        <w:rPr>
          <w:rFonts w:ascii="Times New Roman" w:hAnsi="Times New Roman"/>
          <w:b/>
          <w:color w:val="000000"/>
          <w:sz w:val="30"/>
          <w:szCs w:val="30"/>
        </w:rPr>
        <w:t xml:space="preserve">доходов </w:t>
      </w:r>
    </w:p>
    <w:p w:rsidR="006B6FFB" w:rsidRDefault="00DB7125">
      <w:pPr>
        <w:pStyle w:val="ConsPlusNormal"/>
        <w:widowControl/>
        <w:spacing w:line="240" w:lineRule="atLeast"/>
        <w:jc w:val="center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от акцизов на спирт этиловый из пищевого или непищевого сырья, </w:t>
      </w:r>
    </w:p>
    <w:p w:rsidR="006B6FFB" w:rsidRDefault="00DB7125">
      <w:pPr>
        <w:pStyle w:val="ConsPlusNormal"/>
        <w:widowControl/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на спиртосодержащую продукцию, на алкогольную продукцию </w:t>
      </w:r>
      <w:r>
        <w:rPr>
          <w:rFonts w:ascii="Times New Roman" w:hAnsi="Times New Roman"/>
          <w:b/>
          <w:color w:val="000000"/>
          <w:sz w:val="30"/>
          <w:szCs w:val="30"/>
        </w:rPr>
        <w:br/>
        <w:t xml:space="preserve">с объемной долей этилового спирта свыше 9 процентов, </w:t>
      </w:r>
      <w:r>
        <w:rPr>
          <w:rFonts w:ascii="Times New Roman" w:hAnsi="Times New Roman"/>
          <w:b/>
          <w:color w:val="000000"/>
          <w:sz w:val="30"/>
          <w:szCs w:val="30"/>
        </w:rPr>
        <w:br/>
        <w:t xml:space="preserve">за исключением пива, вин (кроме крепленого (ликерного) вина), </w:t>
      </w:r>
      <w:r>
        <w:rPr>
          <w:rFonts w:ascii="Times New Roman" w:hAnsi="Times New Roman"/>
          <w:b/>
          <w:color w:val="000000"/>
          <w:sz w:val="30"/>
          <w:szCs w:val="30"/>
        </w:rPr>
        <w:br/>
        <w:t xml:space="preserve">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напитков, изготавливаемых без добавления ректификованного этилового спирта, произведенного из пищевого сырья,  и (или) без добавления спиртованных виноградного или иного плодового сусла, </w:t>
      </w:r>
      <w:r>
        <w:rPr>
          <w:rFonts w:ascii="Times New Roman" w:hAnsi="Times New Roman"/>
          <w:b/>
          <w:color w:val="000000"/>
          <w:sz w:val="30"/>
          <w:szCs w:val="30"/>
        </w:rPr>
        <w:br/>
        <w:t>и (или) без добавления дистиллятов, и (или) без добавления крепленого (ликерного) вина, на алкогольную продукцию с объемной долей этилового спирта до 9 процентов включительно, подлежащих зачислению в бюджеты субъектов Российской Федерации и в бюджет города Байконура с 1 августа по 31 декабря 2026 года включительно</w:t>
      </w:r>
    </w:p>
    <w:p w:rsidR="006B6FFB" w:rsidRDefault="006B6FFB">
      <w:pPr>
        <w:pStyle w:val="ConsPlusNormal"/>
        <w:widowControl/>
        <w:spacing w:line="480" w:lineRule="auto"/>
        <w:ind w:firstLine="709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09"/>
        <w:gridCol w:w="2959"/>
      </w:tblGrid>
      <w:tr w:rsidR="006B6FFB">
        <w:trPr>
          <w:trHeight w:val="20"/>
          <w:tblHeader/>
        </w:trPr>
        <w:tc>
          <w:tcPr>
            <w:tcW w:w="35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FFB" w:rsidRDefault="00DB7125">
            <w:pPr>
              <w:spacing w:before="80"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Наименование субъекта Российской Федерации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FFB" w:rsidRDefault="00DB7125">
            <w:pPr>
              <w:spacing w:before="80"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Процент</w:t>
            </w:r>
          </w:p>
        </w:tc>
      </w:tr>
      <w:tr w:rsidR="006B6FFB">
        <w:trPr>
          <w:trHeight w:val="20"/>
          <w:tblHeader/>
        </w:trPr>
        <w:tc>
          <w:tcPr>
            <w:tcW w:w="3516" w:type="pct"/>
            <w:tcBorders>
              <w:top w:val="single" w:sz="4" w:space="0" w:color="auto"/>
            </w:tcBorders>
          </w:tcPr>
          <w:p w:rsidR="006B6FFB" w:rsidRDefault="006B6FFB">
            <w:pPr>
              <w:spacing w:line="240" w:lineRule="exact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1484" w:type="pct"/>
            <w:tcBorders>
              <w:top w:val="single" w:sz="4" w:space="0" w:color="auto"/>
            </w:tcBorders>
          </w:tcPr>
          <w:p w:rsidR="006B6FFB" w:rsidRDefault="006B6FFB">
            <w:pPr>
              <w:spacing w:line="24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Адыгея (Адыгея)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0,0525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Алтай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0,0254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Башкортостан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1,3620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Бурятия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0,2940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Дагестан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0,1129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Донецкая Народная Республика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0,0195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Республика Ингушетия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0,0190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Кабардино-Балкарская Республика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0,3104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Калмыкия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0,0288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Карачаево-Черкесская Республика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0,0800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Карелия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0,2306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Коми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0,8651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Крым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0,2225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Марий Эл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0,3784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Мордовия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0,2657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Саха (Якутия)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0,6381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Северная Осетия - Алания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0,0564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Татарстан (Татарстан)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5,5804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Тыва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0,0249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Удмуртская Республика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0,3985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Республика Хакасия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0,2044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Чеченская Республика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0,1322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Чувашская Республика - Чувашия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0,2437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Алтайский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0,4134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Забайкальский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0,8214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Камчатский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0,1288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Краснодарский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2,7764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Красноярский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1,9120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Пермский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1,3388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Приморский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0,7238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Ставропольский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0,8407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Хабаровский край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2,5606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Амурская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0,5551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Архангельская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0,5179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Астраханская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0,1210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Белгородская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0,8251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Брянская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0,5626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Владимирская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0,4593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Волгоградская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1,9563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Вологодская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0,7083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Воронежская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1,3521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Ивановская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0,1484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Иркутская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1,7783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Калининградская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0,4756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Калужская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0,5622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Кемеровская область - Кузбасс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2,5233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Кировская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0,9041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Костромская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0,1298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Курганская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0,2205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Курская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0,4163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Ленинградская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1,5132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Липецкая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0,7201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Магаданская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0,1673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Московская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5,3437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Мурманская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0,4022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Нижегородская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2,4597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Новгородская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0,3292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Новосибирская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1,4673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Омская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0,8417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Оренбургская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0,6918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Орловская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0,2091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Пензенская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0,5043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Псковская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0,1158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Ростовская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1,6585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Рязанская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0,9857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Самарская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2,4317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Саратовская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0,8808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Сахалинская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0,4312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Свердловская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2,7632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Смоленская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0,3544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Тамбовская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0,5180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Тверская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0,4102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Томская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0,7854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Тульская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1,2209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Тюменская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1,0051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Ульяновская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0,3148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Челябинская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1,6601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Ярославская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0,7611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город федерального значения Москва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21,1015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город федерального значения Санкт-Петербург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5,7154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город федерального значения Севастополь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0,0335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Еврейская автономная область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0,0269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Ненецкий автономный округ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0,0643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Ханты-Мансийский автономный округ - Югра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2,9514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Чукотский автономный округ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0,0812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Ямало-Ненецкий автономный округ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1,7430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город Байконур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0,0588</w:t>
            </w:r>
          </w:p>
        </w:tc>
      </w:tr>
      <w:tr w:rsidR="006B6FFB">
        <w:trPr>
          <w:trHeight w:val="20"/>
        </w:trPr>
        <w:tc>
          <w:tcPr>
            <w:tcW w:w="3516" w:type="pct"/>
          </w:tcPr>
          <w:p w:rsidR="006B6FFB" w:rsidRDefault="00DB7125">
            <w:pPr>
              <w:spacing w:after="80" w:line="240" w:lineRule="atLeas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ВСЕГО</w:t>
            </w:r>
          </w:p>
        </w:tc>
        <w:tc>
          <w:tcPr>
            <w:tcW w:w="1484" w:type="pct"/>
          </w:tcPr>
          <w:p w:rsidR="006B6FFB" w:rsidRDefault="00DB7125">
            <w:pPr>
              <w:spacing w:after="80" w:line="240" w:lineRule="atLeas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100,0".</w:t>
            </w:r>
          </w:p>
        </w:tc>
      </w:tr>
    </w:tbl>
    <w:p w:rsidR="006B6FFB" w:rsidRDefault="006B6FFB"/>
    <w:p w:rsidR="006B6FFB" w:rsidRDefault="00DB7125">
      <w:pPr>
        <w:pStyle w:val="ConsPlusTitle"/>
        <w:keepNext/>
        <w:widowControl/>
        <w:spacing w:line="48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Статья 6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1. Настоящий Федеральный закон вступает в силу со дня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его официального опубликования, за исключением положений, для которых настоящей статьей установлены иные сроки вступления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их в силу.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2. Абзац двенадцатый подпункта "д" пункта 5 статьи 5 настоящего Федерального закона вступает в силу с 1 июля 2026 года.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3. Пункт 1 статьи 1 настоящего Федерального закона вступает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силу с 1 декабря 2026 года. </w:t>
      </w:r>
    </w:p>
    <w:p w:rsidR="006B6FFB" w:rsidRDefault="00DB7125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4. Пункт 2 статьи 1 настоящего Федерального закона вступает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силу с 1 января 2027 года.</w:t>
      </w:r>
    </w:p>
    <w:p w:rsidR="006B6FFB" w:rsidRDefault="00DB7125">
      <w:pPr>
        <w:pStyle w:val="ae"/>
        <w:spacing w:before="0" w:line="480" w:lineRule="auto"/>
        <w:rPr>
          <w:sz w:val="30"/>
          <w:szCs w:val="30"/>
        </w:rPr>
      </w:pPr>
      <w:r>
        <w:rPr>
          <w:color w:val="000000" w:themeColor="text1"/>
          <w:sz w:val="30"/>
          <w:szCs w:val="30"/>
        </w:rPr>
        <w:t>5. Действие положений частей 6, 9 - 11 статьи 14 Федерального закона от 28 ноября 2025 года № 431-ФЗ "О внесении изменений</w:t>
      </w:r>
      <w:r>
        <w:rPr>
          <w:color w:val="000000" w:themeColor="text1"/>
          <w:sz w:val="30"/>
          <w:szCs w:val="30"/>
        </w:rPr>
        <w:br/>
        <w:t xml:space="preserve"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</w:t>
      </w:r>
      <w:r>
        <w:rPr>
          <w:color w:val="000000" w:themeColor="text1"/>
          <w:sz w:val="30"/>
          <w:szCs w:val="30"/>
        </w:rPr>
        <w:br/>
        <w:t>в 2026 году" (в редакции настоящего Федерального закона) распространяется на правоотношения, возникшие с 1 января 2026 года.</w:t>
      </w:r>
      <w:permEnd w:id="2136963266"/>
    </w:p>
    <w:p w:rsidR="006B6FFB" w:rsidRDefault="00DB7125">
      <w:pPr>
        <w:pStyle w:val="ad"/>
      </w:pPr>
      <w:r>
        <w:t>Президент</w:t>
      </w:r>
    </w:p>
    <w:p w:rsidR="006B6FFB" w:rsidRDefault="00DB7125">
      <w:pPr>
        <w:pStyle w:val="ad"/>
        <w:spacing w:line="480" w:lineRule="atLeast"/>
      </w:pPr>
      <w:r>
        <w:t>Российской Федерации</w:t>
      </w:r>
    </w:p>
    <w:bookmarkEnd w:id="0"/>
    <w:p w:rsidR="006B6FFB" w:rsidRDefault="006B6FFB">
      <w:pPr>
        <w:spacing w:line="240" w:lineRule="auto"/>
        <w:rPr>
          <w:sz w:val="4"/>
          <w:szCs w:val="4"/>
        </w:rPr>
      </w:pPr>
    </w:p>
    <w:sectPr w:rsidR="006B6FF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A1F" w:rsidRDefault="000D1A1F">
      <w:pPr>
        <w:spacing w:line="240" w:lineRule="auto"/>
      </w:pPr>
      <w:r>
        <w:separator/>
      </w:r>
    </w:p>
  </w:endnote>
  <w:endnote w:type="continuationSeparator" w:id="0">
    <w:p w:rsidR="000D1A1F" w:rsidRDefault="000D1A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B6FFB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6FFB" w:rsidRDefault="00DB7125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0886159-Уч-2026 (8.0)</w:t>
          </w:r>
        </w:p>
      </w:tc>
    </w:tr>
    <w:tr w:rsidR="006B6FFB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6FFB" w:rsidRDefault="00DB7125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6B6FFB" w:rsidRDefault="006B6F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B6FFB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6FFB" w:rsidRDefault="00DB7125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0886159-Уч-2026 (8.0)</w:t>
          </w:r>
        </w:p>
      </w:tc>
    </w:tr>
    <w:tr w:rsidR="006B6FFB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6FFB" w:rsidRDefault="00DB7125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6B6FFB" w:rsidRDefault="006B6F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A1F" w:rsidRDefault="000D1A1F">
      <w:pPr>
        <w:spacing w:line="240" w:lineRule="auto"/>
      </w:pPr>
      <w:r>
        <w:separator/>
      </w:r>
    </w:p>
  </w:footnote>
  <w:footnote w:type="continuationSeparator" w:id="0">
    <w:p w:rsidR="000D1A1F" w:rsidRDefault="000D1A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FFB" w:rsidRDefault="00DB712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5100E">
      <w:rPr>
        <w:rStyle w:val="a7"/>
        <w:noProof/>
      </w:rPr>
      <w:t>23</w:t>
    </w:r>
    <w:r>
      <w:rPr>
        <w:rStyle w:val="a7"/>
      </w:rPr>
      <w:fldChar w:fldCharType="end"/>
    </w:r>
  </w:p>
  <w:p w:rsidR="006B6FFB" w:rsidRDefault="006B6FF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FFB" w:rsidRDefault="006B6FF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1622"/>
    <w:multiLevelType w:val="hybridMultilevel"/>
    <w:tmpl w:val="BA6EB9C2"/>
    <w:lvl w:ilvl="0" w:tplc="92DED2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6C28B956" w:tentative="1">
      <w:start w:val="1"/>
      <w:numFmt w:val="lowerLetter"/>
      <w:lvlText w:val="%2."/>
      <w:lvlJc w:val="left"/>
      <w:pPr>
        <w:ind w:left="1647" w:hanging="360"/>
      </w:pPr>
    </w:lvl>
    <w:lvl w:ilvl="2" w:tplc="92228684" w:tentative="1">
      <w:start w:val="1"/>
      <w:numFmt w:val="lowerRoman"/>
      <w:lvlText w:val="%3."/>
      <w:lvlJc w:val="right"/>
      <w:pPr>
        <w:ind w:left="2367" w:hanging="180"/>
      </w:pPr>
    </w:lvl>
    <w:lvl w:ilvl="3" w:tplc="EE6E76CA" w:tentative="1">
      <w:start w:val="1"/>
      <w:numFmt w:val="decimal"/>
      <w:lvlText w:val="%4."/>
      <w:lvlJc w:val="left"/>
      <w:pPr>
        <w:ind w:left="3087" w:hanging="360"/>
      </w:pPr>
    </w:lvl>
    <w:lvl w:ilvl="4" w:tplc="BC1AE748" w:tentative="1">
      <w:start w:val="1"/>
      <w:numFmt w:val="lowerLetter"/>
      <w:lvlText w:val="%5."/>
      <w:lvlJc w:val="left"/>
      <w:pPr>
        <w:ind w:left="3807" w:hanging="360"/>
      </w:pPr>
    </w:lvl>
    <w:lvl w:ilvl="5" w:tplc="5E5EA230" w:tentative="1">
      <w:start w:val="1"/>
      <w:numFmt w:val="lowerRoman"/>
      <w:lvlText w:val="%6."/>
      <w:lvlJc w:val="right"/>
      <w:pPr>
        <w:ind w:left="4527" w:hanging="180"/>
      </w:pPr>
    </w:lvl>
    <w:lvl w:ilvl="6" w:tplc="B248267C" w:tentative="1">
      <w:start w:val="1"/>
      <w:numFmt w:val="decimal"/>
      <w:lvlText w:val="%7."/>
      <w:lvlJc w:val="left"/>
      <w:pPr>
        <w:ind w:left="5247" w:hanging="360"/>
      </w:pPr>
    </w:lvl>
    <w:lvl w:ilvl="7" w:tplc="DABA9AFC" w:tentative="1">
      <w:start w:val="1"/>
      <w:numFmt w:val="lowerLetter"/>
      <w:lvlText w:val="%8."/>
      <w:lvlJc w:val="left"/>
      <w:pPr>
        <w:ind w:left="5967" w:hanging="360"/>
      </w:pPr>
    </w:lvl>
    <w:lvl w:ilvl="8" w:tplc="53E621A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137E72"/>
    <w:multiLevelType w:val="hybridMultilevel"/>
    <w:tmpl w:val="628873F8"/>
    <w:lvl w:ilvl="0" w:tplc="C7CC610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A2D67C42" w:tentative="1">
      <w:start w:val="1"/>
      <w:numFmt w:val="lowerLetter"/>
      <w:lvlText w:val="%2."/>
      <w:lvlJc w:val="left"/>
      <w:pPr>
        <w:ind w:left="1755" w:hanging="360"/>
      </w:pPr>
    </w:lvl>
    <w:lvl w:ilvl="2" w:tplc="85C8B0F0" w:tentative="1">
      <w:start w:val="1"/>
      <w:numFmt w:val="lowerRoman"/>
      <w:lvlText w:val="%3."/>
      <w:lvlJc w:val="right"/>
      <w:pPr>
        <w:ind w:left="2475" w:hanging="180"/>
      </w:pPr>
    </w:lvl>
    <w:lvl w:ilvl="3" w:tplc="8214C236" w:tentative="1">
      <w:start w:val="1"/>
      <w:numFmt w:val="decimal"/>
      <w:lvlText w:val="%4."/>
      <w:lvlJc w:val="left"/>
      <w:pPr>
        <w:ind w:left="3195" w:hanging="360"/>
      </w:pPr>
    </w:lvl>
    <w:lvl w:ilvl="4" w:tplc="48E032D6" w:tentative="1">
      <w:start w:val="1"/>
      <w:numFmt w:val="lowerLetter"/>
      <w:lvlText w:val="%5."/>
      <w:lvlJc w:val="left"/>
      <w:pPr>
        <w:ind w:left="3915" w:hanging="360"/>
      </w:pPr>
    </w:lvl>
    <w:lvl w:ilvl="5" w:tplc="A70041CC" w:tentative="1">
      <w:start w:val="1"/>
      <w:numFmt w:val="lowerRoman"/>
      <w:lvlText w:val="%6."/>
      <w:lvlJc w:val="right"/>
      <w:pPr>
        <w:ind w:left="4635" w:hanging="180"/>
      </w:pPr>
    </w:lvl>
    <w:lvl w:ilvl="6" w:tplc="799489A0" w:tentative="1">
      <w:start w:val="1"/>
      <w:numFmt w:val="decimal"/>
      <w:lvlText w:val="%7."/>
      <w:lvlJc w:val="left"/>
      <w:pPr>
        <w:ind w:left="5355" w:hanging="360"/>
      </w:pPr>
    </w:lvl>
    <w:lvl w:ilvl="7" w:tplc="49523778" w:tentative="1">
      <w:start w:val="1"/>
      <w:numFmt w:val="lowerLetter"/>
      <w:lvlText w:val="%8."/>
      <w:lvlJc w:val="left"/>
      <w:pPr>
        <w:ind w:left="6075" w:hanging="360"/>
      </w:pPr>
    </w:lvl>
    <w:lvl w:ilvl="8" w:tplc="6EC85732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16585292"/>
    <w:multiLevelType w:val="hybridMultilevel"/>
    <w:tmpl w:val="0F1CF58C"/>
    <w:lvl w:ilvl="0" w:tplc="3F840B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2081EC8" w:tentative="1">
      <w:start w:val="1"/>
      <w:numFmt w:val="lowerLetter"/>
      <w:lvlText w:val="%2."/>
      <w:lvlJc w:val="left"/>
      <w:pPr>
        <w:ind w:left="1789" w:hanging="360"/>
      </w:pPr>
    </w:lvl>
    <w:lvl w:ilvl="2" w:tplc="607E5BE4" w:tentative="1">
      <w:start w:val="1"/>
      <w:numFmt w:val="lowerRoman"/>
      <w:lvlText w:val="%3."/>
      <w:lvlJc w:val="right"/>
      <w:pPr>
        <w:ind w:left="2509" w:hanging="180"/>
      </w:pPr>
    </w:lvl>
    <w:lvl w:ilvl="3" w:tplc="A4CE1A94" w:tentative="1">
      <w:start w:val="1"/>
      <w:numFmt w:val="decimal"/>
      <w:lvlText w:val="%4."/>
      <w:lvlJc w:val="left"/>
      <w:pPr>
        <w:ind w:left="3229" w:hanging="360"/>
      </w:pPr>
    </w:lvl>
    <w:lvl w:ilvl="4" w:tplc="F42CED12" w:tentative="1">
      <w:start w:val="1"/>
      <w:numFmt w:val="lowerLetter"/>
      <w:lvlText w:val="%5."/>
      <w:lvlJc w:val="left"/>
      <w:pPr>
        <w:ind w:left="3949" w:hanging="360"/>
      </w:pPr>
    </w:lvl>
    <w:lvl w:ilvl="5" w:tplc="68166BDE" w:tentative="1">
      <w:start w:val="1"/>
      <w:numFmt w:val="lowerRoman"/>
      <w:lvlText w:val="%6."/>
      <w:lvlJc w:val="right"/>
      <w:pPr>
        <w:ind w:left="4669" w:hanging="180"/>
      </w:pPr>
    </w:lvl>
    <w:lvl w:ilvl="6" w:tplc="B0309FB2" w:tentative="1">
      <w:start w:val="1"/>
      <w:numFmt w:val="decimal"/>
      <w:lvlText w:val="%7."/>
      <w:lvlJc w:val="left"/>
      <w:pPr>
        <w:ind w:left="5389" w:hanging="360"/>
      </w:pPr>
    </w:lvl>
    <w:lvl w:ilvl="7" w:tplc="EED4CB5E" w:tentative="1">
      <w:start w:val="1"/>
      <w:numFmt w:val="lowerLetter"/>
      <w:lvlText w:val="%8."/>
      <w:lvlJc w:val="left"/>
      <w:pPr>
        <w:ind w:left="6109" w:hanging="360"/>
      </w:pPr>
    </w:lvl>
    <w:lvl w:ilvl="8" w:tplc="6742D91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4C42AB"/>
    <w:multiLevelType w:val="hybridMultilevel"/>
    <w:tmpl w:val="BE14ADEC"/>
    <w:lvl w:ilvl="0" w:tplc="A574CD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1B24068" w:tentative="1">
      <w:start w:val="1"/>
      <w:numFmt w:val="lowerLetter"/>
      <w:lvlText w:val="%2."/>
      <w:lvlJc w:val="left"/>
      <w:pPr>
        <w:ind w:left="1789" w:hanging="360"/>
      </w:pPr>
    </w:lvl>
    <w:lvl w:ilvl="2" w:tplc="6AE40F0C" w:tentative="1">
      <w:start w:val="1"/>
      <w:numFmt w:val="lowerRoman"/>
      <w:lvlText w:val="%3."/>
      <w:lvlJc w:val="right"/>
      <w:pPr>
        <w:ind w:left="2509" w:hanging="180"/>
      </w:pPr>
    </w:lvl>
    <w:lvl w:ilvl="3" w:tplc="BBC06486" w:tentative="1">
      <w:start w:val="1"/>
      <w:numFmt w:val="decimal"/>
      <w:lvlText w:val="%4."/>
      <w:lvlJc w:val="left"/>
      <w:pPr>
        <w:ind w:left="3229" w:hanging="360"/>
      </w:pPr>
    </w:lvl>
    <w:lvl w:ilvl="4" w:tplc="E94221C2" w:tentative="1">
      <w:start w:val="1"/>
      <w:numFmt w:val="lowerLetter"/>
      <w:lvlText w:val="%5."/>
      <w:lvlJc w:val="left"/>
      <w:pPr>
        <w:ind w:left="3949" w:hanging="360"/>
      </w:pPr>
    </w:lvl>
    <w:lvl w:ilvl="5" w:tplc="9A509156" w:tentative="1">
      <w:start w:val="1"/>
      <w:numFmt w:val="lowerRoman"/>
      <w:lvlText w:val="%6."/>
      <w:lvlJc w:val="right"/>
      <w:pPr>
        <w:ind w:left="4669" w:hanging="180"/>
      </w:pPr>
    </w:lvl>
    <w:lvl w:ilvl="6" w:tplc="28DC0D84" w:tentative="1">
      <w:start w:val="1"/>
      <w:numFmt w:val="decimal"/>
      <w:lvlText w:val="%7."/>
      <w:lvlJc w:val="left"/>
      <w:pPr>
        <w:ind w:left="5389" w:hanging="360"/>
      </w:pPr>
    </w:lvl>
    <w:lvl w:ilvl="7" w:tplc="F7C60564" w:tentative="1">
      <w:start w:val="1"/>
      <w:numFmt w:val="lowerLetter"/>
      <w:lvlText w:val="%8."/>
      <w:lvlJc w:val="left"/>
      <w:pPr>
        <w:ind w:left="6109" w:hanging="360"/>
      </w:pPr>
    </w:lvl>
    <w:lvl w:ilvl="8" w:tplc="462C6D42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dit="comments" w:enforcement="1" w:cryptProviderType="rsaAES" w:cryptAlgorithmClass="hash" w:cryptAlgorithmType="typeAny" w:cryptAlgorithmSid="14" w:cryptSpinCount="100000" w:hash="nsjUcRFY5aHuedzCkiblFGsYzQA2ZfW/6k7erNHAT0iSL8T+Kir283P7Ae6WyrXIgP3/9MeZBr0JV+iu68tqYA==" w:salt="uJ+f9mWaVkM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FFB"/>
    <w:rsid w:val="000D1A1F"/>
    <w:rsid w:val="0045100E"/>
    <w:rsid w:val="006B6FFB"/>
    <w:rsid w:val="007000AD"/>
    <w:rsid w:val="00DB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</w:style>
  <w:style w:type="table" w:styleId="a8">
    <w:name w:val="Table Grid"/>
    <w:basedOn w:val="a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List Paragraph"/>
    <w:basedOn w:val="a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Page">
    <w:name w:val="ConsPlusTitlePag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pPr>
      <w:spacing w:line="240" w:lineRule="auto"/>
      <w:jc w:val="left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Segoe UI" w:hAnsi="Segoe UI" w:cs="Segoe UI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pPr>
      <w:spacing w:after="160" w:line="240" w:lineRule="auto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</w:style>
  <w:style w:type="table" w:styleId="a8">
    <w:name w:val="Table Grid"/>
    <w:basedOn w:val="a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List Paragraph"/>
    <w:basedOn w:val="a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Page">
    <w:name w:val="ConsPlusTitlePag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pPr>
      <w:spacing w:line="240" w:lineRule="auto"/>
      <w:jc w:val="left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Segoe UI" w:hAnsi="Segoe UI" w:cs="Segoe UI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pPr>
      <w:spacing w:after="160" w:line="240" w:lineRule="auto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31882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84390-3FC7-4D68-9F67-3141830F8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32</Pages>
  <Words>5132</Words>
  <Characters>29253</Characters>
  <Application>Microsoft Office Word</Application>
  <DocSecurity>8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Попов А.Ю.</cp:lastModifiedBy>
  <cp:revision>59</cp:revision>
  <cp:lastPrinted>2026-06-05T13:59:00Z</cp:lastPrinted>
  <dcterms:created xsi:type="dcterms:W3CDTF">2024-05-30T08:00:00Z</dcterms:created>
  <dcterms:modified xsi:type="dcterms:W3CDTF">2026-06-05T14:11:00Z</dcterms:modified>
</cp:coreProperties>
</file>