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298" w:rsidRDefault="003325C6">
      <w:pPr>
        <w:pStyle w:val="aff1"/>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ПЕРЕЧЕНЬ</w:t>
      </w:r>
    </w:p>
    <w:p w:rsidR="00D80298" w:rsidRDefault="003325C6">
      <w:pPr>
        <w:pStyle w:val="aff1"/>
        <w:spacing w:after="0" w:line="240" w:lineRule="auto"/>
        <w:jc w:val="center"/>
        <w:rPr>
          <w:rFonts w:ascii="Times New Roman" w:hAnsi="Times New Roman" w:cs="Times New Roman"/>
          <w:b/>
          <w:sz w:val="28"/>
          <w:szCs w:val="28"/>
        </w:rPr>
      </w:pPr>
      <w:r>
        <w:rPr>
          <w:rFonts w:ascii="Times New Roman" w:eastAsia="Times New Roman" w:hAnsi="Times New Roman" w:cs="Times New Roman"/>
          <w:b/>
          <w:color w:val="000000"/>
          <w:sz w:val="28"/>
          <w:szCs w:val="28"/>
        </w:rPr>
        <w:t xml:space="preserve">нормативных правовых актов Президента Российской Федерации, Правительства Российской Федерации и федеральных органов исполнительной власти, подлежащих признанию утратившими силу, приостановлению, изменению или принятию в связи с принятием Федерального закона </w:t>
      </w:r>
      <w:r w:rsidR="001C5B8A">
        <w:rPr>
          <w:rFonts w:ascii="Times New Roman" w:eastAsia="Times New Roman" w:hAnsi="Times New Roman" w:cs="Times New Roman"/>
          <w:b/>
          <w:color w:val="000000"/>
          <w:sz w:val="28"/>
          <w:szCs w:val="28"/>
        </w:rPr>
        <w:t>"</w:t>
      </w:r>
      <w:r>
        <w:rPr>
          <w:rFonts w:ascii="Times New Roman" w:eastAsia="Times New Roman" w:hAnsi="Times New Roman" w:cs="Times New Roman"/>
          <w:b/>
          <w:sz w:val="28"/>
          <w:szCs w:val="28"/>
        </w:rPr>
        <w:t>О внесении изменений в статью 52</w:t>
      </w:r>
      <w:r>
        <w:rPr>
          <w:rFonts w:ascii="Times New Roman" w:eastAsia="Times New Roman" w:hAnsi="Times New Roman" w:cs="Times New Roman"/>
          <w:b/>
          <w:sz w:val="28"/>
          <w:szCs w:val="28"/>
          <w:vertAlign w:val="superscript"/>
        </w:rPr>
        <w:t>1</w:t>
      </w:r>
      <w:r>
        <w:rPr>
          <w:rFonts w:ascii="Times New Roman" w:eastAsia="Times New Roman" w:hAnsi="Times New Roman" w:cs="Times New Roman"/>
          <w:b/>
          <w:sz w:val="28"/>
          <w:szCs w:val="28"/>
        </w:rPr>
        <w:t xml:space="preserve"> Градостроительного кодекса Российской Федерации</w:t>
      </w:r>
      <w:r w:rsidR="001C5B8A">
        <w:rPr>
          <w:rFonts w:ascii="Times New Roman" w:eastAsia="Times New Roman" w:hAnsi="Times New Roman" w:cs="Times New Roman"/>
          <w:b/>
          <w:color w:val="000000"/>
          <w:sz w:val="28"/>
          <w:szCs w:val="28"/>
        </w:rPr>
        <w:t>"</w:t>
      </w:r>
    </w:p>
    <w:p w:rsidR="00D80298" w:rsidRDefault="00D80298">
      <w:pPr>
        <w:pStyle w:val="aff1"/>
        <w:spacing w:after="0"/>
        <w:jc w:val="center"/>
        <w:rPr>
          <w:rFonts w:ascii="Times New Roman" w:hAnsi="Times New Roman" w:cs="Times New Roman"/>
          <w:b/>
          <w:sz w:val="28"/>
          <w:szCs w:val="28"/>
        </w:rPr>
      </w:pP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Для реализации Федерального закона </w:t>
      </w:r>
      <w:r w:rsidR="001C5B8A">
        <w:rPr>
          <w:rFonts w:ascii="Times New Roman" w:eastAsia="Times New Roman" w:hAnsi="Times New Roman" w:cs="Times New Roman"/>
          <w:sz w:val="28"/>
          <w:szCs w:val="28"/>
          <w:lang w:eastAsia="ru-RU"/>
        </w:rPr>
        <w:t>"</w:t>
      </w:r>
      <w:r>
        <w:rPr>
          <w:rStyle w:val="CharStyle23"/>
          <w:rFonts w:ascii="Times New Roman" w:eastAsia="Times New Roman" w:hAnsi="Times New Roman" w:cs="Times New Roman"/>
          <w:b w:val="0"/>
          <w:color w:val="000000"/>
          <w:sz w:val="28"/>
          <w:szCs w:val="28"/>
        </w:rPr>
        <w:t>О внесении изменений в статью 52</w:t>
      </w:r>
      <w:r>
        <w:rPr>
          <w:rStyle w:val="CharStyle23"/>
          <w:rFonts w:ascii="Times New Roman" w:eastAsia="Times New Roman" w:hAnsi="Times New Roman" w:cs="Times New Roman"/>
          <w:b w:val="0"/>
          <w:color w:val="000000"/>
          <w:sz w:val="28"/>
          <w:szCs w:val="28"/>
          <w:vertAlign w:val="superscript"/>
        </w:rPr>
        <w:t>1</w:t>
      </w:r>
      <w:r>
        <w:rPr>
          <w:rStyle w:val="CharStyle23"/>
          <w:rFonts w:ascii="Times New Roman" w:eastAsia="Times New Roman" w:hAnsi="Times New Roman" w:cs="Times New Roman"/>
          <w:b w:val="0"/>
          <w:color w:val="000000"/>
          <w:sz w:val="28"/>
          <w:szCs w:val="28"/>
        </w:rPr>
        <w:t xml:space="preserve"> Градостроительного кодекса Российской Федерации</w:t>
      </w:r>
      <w:r w:rsidR="001C5B8A">
        <w:rPr>
          <w:rStyle w:val="CharStyle23"/>
          <w:rFonts w:ascii="Times New Roman" w:eastAsia="Times New Roman" w:hAnsi="Times New Roman" w:cs="Times New Roman"/>
          <w:b w:val="0"/>
          <w:color w:val="000000"/>
          <w:sz w:val="28"/>
          <w:szCs w:val="28"/>
        </w:rPr>
        <w:t>"</w:t>
      </w:r>
      <w:r>
        <w:rPr>
          <w:rStyle w:val="CharStyle23"/>
          <w:rFonts w:ascii="Times New Roman" w:eastAsia="Times New Roman" w:hAnsi="Times New Roman" w:cs="Times New Roman"/>
          <w:b w:val="0"/>
          <w:color w:val="000000"/>
          <w:sz w:val="28"/>
          <w:szCs w:val="28"/>
        </w:rPr>
        <w:t xml:space="preserve"> </w:t>
      </w:r>
      <w:r w:rsidR="001C5B8A">
        <w:rPr>
          <w:rFonts w:ascii="Times New Roman" w:eastAsia="Times New Roman" w:hAnsi="Times New Roman" w:cs="Times New Roman"/>
          <w:sz w:val="28"/>
          <w:szCs w:val="28"/>
          <w:lang w:eastAsia="ru-RU"/>
        </w:rPr>
        <w:t>(далее –</w:t>
      </w:r>
      <w:r>
        <w:rPr>
          <w:rFonts w:ascii="Times New Roman" w:eastAsia="Times New Roman" w:hAnsi="Times New Roman" w:cs="Times New Roman"/>
          <w:sz w:val="28"/>
          <w:szCs w:val="28"/>
          <w:lang w:eastAsia="ru-RU"/>
        </w:rPr>
        <w:t xml:space="preserve"> Федеральный закон) потребуется принятие следующих нормативных правовых актов Правительства Российской Федерации и федеральных органов исполнительной власти. </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 Постановление Правительства Российской Федерации </w:t>
      </w:r>
      <w:r w:rsidR="001C5B8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 внесении изменений в некоторые акты Правительства Российской Федерации</w:t>
      </w:r>
      <w:r w:rsidR="001C5B8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Цель, предмет и содержание правового регулирования: </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 внесение изменений в Правила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утвержденные постановлением Правительства Российской Федерации от 13 сентября 2021 г. № 1547 (далее – Правила подключения № 1547), в целях установления случаев, в которых выдача предусмотренных частью 5</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статьи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Градостроительного кодекса Российской Федерации (далее – </w:t>
      </w:r>
      <w:proofErr w:type="spellStart"/>
      <w:r>
        <w:rPr>
          <w:rFonts w:ascii="Times New Roman" w:eastAsia="Times New Roman" w:hAnsi="Times New Roman" w:cs="Times New Roman"/>
          <w:sz w:val="28"/>
          <w:szCs w:val="28"/>
          <w:lang w:eastAsia="ru-RU"/>
        </w:rPr>
        <w:t>ГрК</w:t>
      </w:r>
      <w:proofErr w:type="spellEnd"/>
      <w:r>
        <w:rPr>
          <w:rFonts w:ascii="Times New Roman" w:eastAsia="Times New Roman" w:hAnsi="Times New Roman" w:cs="Times New Roman"/>
          <w:sz w:val="28"/>
          <w:szCs w:val="28"/>
          <w:lang w:eastAsia="ru-RU"/>
        </w:rPr>
        <w:t> РФ) предварительных технических условий может осуществляться для планируемого подключения объекта капитального строительства к сетям газораспределения, мероприятия по обеспечению возможности подключения к которым, не связанные со строительством или реконструкцией сети газораспределения, подключение к которой планируется, предусмотрены государственными и инвестиционными программами</w:t>
      </w:r>
      <w:r>
        <w:rPr>
          <w:rStyle w:val="af3"/>
          <w:rFonts w:ascii="Times New Roman" w:eastAsia="Times New Roman" w:hAnsi="Times New Roman" w:cs="Times New Roman"/>
          <w:sz w:val="28"/>
          <w:szCs w:val="28"/>
          <w:lang w:eastAsia="ru-RU"/>
        </w:rPr>
        <w:footnoteReference w:id="1"/>
      </w:r>
      <w:r>
        <w:rPr>
          <w:rFonts w:ascii="Times New Roman" w:eastAsia="Times New Roman" w:hAnsi="Times New Roman" w:cs="Times New Roman"/>
          <w:sz w:val="28"/>
          <w:szCs w:val="28"/>
          <w:lang w:eastAsia="ru-RU"/>
        </w:rPr>
        <w:t xml:space="preserve">, </w:t>
      </w:r>
      <w:r w:rsidR="00FB724C">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но не завершены на момент обращения застройщика, технического заказчика, правообладателя объекта капитального строительства с запросом о выдаче таких технических условий; </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2) приведение Стандартов раскрытия информации субъектами естественных монополий, оказывающими услуги по транспортировке газа </w:t>
      </w:r>
      <w:r>
        <w:rPr>
          <w:rFonts w:ascii="Times New Roman" w:eastAsia="Times New Roman" w:hAnsi="Times New Roman" w:cs="Times New Roman"/>
          <w:sz w:val="28"/>
          <w:szCs w:val="28"/>
          <w:lang w:eastAsia="ru-RU"/>
        </w:rPr>
        <w:br/>
        <w:t xml:space="preserve">по трубопроводам, утвержденных постановлением Правительства Российской Федерации от 31 мая 2025 г. № 821 (далее – Стандарты № 821), постановления Правительства Российской Федерации от 1 ноября 2021 г. № 1900 </w:t>
      </w:r>
      <w:r w:rsidR="00453E10">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и утвержденных им Правил увеличения пропускной способности объектов газотранспортных систем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получен отказ в выдаче технических условий на технологическое присоединение, в соответствие </w:t>
      </w:r>
      <w:r>
        <w:rPr>
          <w:rFonts w:ascii="Times New Roman" w:eastAsia="Times New Roman" w:hAnsi="Times New Roman" w:cs="Times New Roman"/>
          <w:sz w:val="28"/>
          <w:szCs w:val="28"/>
          <w:lang w:eastAsia="ru-RU"/>
        </w:rPr>
        <w:br/>
        <w:t>с актуальной редакцией части 5</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статьи 52</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ГрК</w:t>
      </w:r>
      <w:proofErr w:type="spellEnd"/>
      <w:r>
        <w:rPr>
          <w:rFonts w:ascii="Times New Roman" w:eastAsia="Times New Roman" w:hAnsi="Times New Roman" w:cs="Times New Roman"/>
          <w:sz w:val="28"/>
          <w:szCs w:val="28"/>
          <w:lang w:eastAsia="ru-RU"/>
        </w:rPr>
        <w:t xml:space="preserve"> РФ.</w:t>
      </w:r>
    </w:p>
    <w:p w:rsidR="00D80298" w:rsidRDefault="00453E10"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Необходимый срок принятия –</w:t>
      </w:r>
      <w:r w:rsidR="003325C6">
        <w:rPr>
          <w:rFonts w:ascii="Times New Roman" w:eastAsia="Times New Roman" w:hAnsi="Times New Roman" w:cs="Times New Roman"/>
          <w:sz w:val="28"/>
          <w:szCs w:val="28"/>
          <w:lang w:eastAsia="ru-RU"/>
        </w:rPr>
        <w:t xml:space="preserve"> до 1 июня 2026 г</w:t>
      </w:r>
      <w:r>
        <w:rPr>
          <w:rFonts w:ascii="Times New Roman" w:eastAsia="Times New Roman" w:hAnsi="Times New Roman" w:cs="Times New Roman"/>
          <w:sz w:val="28"/>
          <w:szCs w:val="28"/>
          <w:lang w:eastAsia="ru-RU"/>
        </w:rPr>
        <w:t>ода</w:t>
      </w:r>
      <w:r w:rsidR="003325C6">
        <w:rPr>
          <w:rFonts w:ascii="Times New Roman" w:eastAsia="Times New Roman" w:hAnsi="Times New Roman" w:cs="Times New Roman"/>
          <w:sz w:val="28"/>
          <w:szCs w:val="28"/>
          <w:lang w:eastAsia="ru-RU"/>
        </w:rPr>
        <w:t>.</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Федеральный орган исполнительной власти - исполнитель — ФАС России, Минэнерго России.</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Приказ ФАС России </w:t>
      </w:r>
      <w:r w:rsidR="001C5B8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О внесении изменений в формы, сроки </w:t>
      </w:r>
      <w:r>
        <w:rPr>
          <w:rFonts w:ascii="Times New Roman" w:eastAsia="Times New Roman" w:hAnsi="Times New Roman" w:cs="Times New Roman"/>
          <w:sz w:val="28"/>
          <w:szCs w:val="28"/>
          <w:lang w:eastAsia="ru-RU"/>
        </w:rPr>
        <w:br/>
        <w:t xml:space="preserve">и периодичность раскрытия информации субъектами естественных монополий, оказывающими услуги по транспортировке газа по трубопроводам, а также правила заполнения указанных форм, утвержденные приказом ФАС России </w:t>
      </w:r>
      <w:r>
        <w:rPr>
          <w:rFonts w:ascii="Times New Roman" w:eastAsia="Times New Roman" w:hAnsi="Times New Roman" w:cs="Times New Roman"/>
          <w:sz w:val="28"/>
          <w:szCs w:val="28"/>
          <w:lang w:eastAsia="ru-RU"/>
        </w:rPr>
        <w:br/>
        <w:t xml:space="preserve">от 8 декабря 2022 г. № 960/22 </w:t>
      </w:r>
      <w:r w:rsidR="001C5B8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Об утверждении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w:t>
      </w:r>
      <w:r w:rsidR="001C5B8A">
        <w:rPr>
          <w:rFonts w:ascii="Times New Roman" w:eastAsia="Times New Roman" w:hAnsi="Times New Roman" w:cs="Times New Roman"/>
          <w:sz w:val="28"/>
          <w:szCs w:val="28"/>
          <w:lang w:eastAsia="ru-RU"/>
        </w:rPr>
        <w:t>"</w:t>
      </w:r>
      <w:r w:rsidR="00453E10">
        <w:rPr>
          <w:rFonts w:ascii="Times New Roman" w:eastAsia="Times New Roman" w:hAnsi="Times New Roman" w:cs="Times New Roman"/>
          <w:sz w:val="28"/>
          <w:szCs w:val="28"/>
          <w:lang w:eastAsia="ru-RU"/>
        </w:rPr>
        <w:t>.</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Цель, предмет и содержание правового регулирования: приведение форм, сроков и периодичности раскрытия информации субъектами естественных монополий, оказывающими услуги по транспортировке газа по трубопроводам, а также правил заполнения указанных форм, утвержденных приказом ФАС России от 8 декабря 2022 г. № 960/22, в соответствие с изменениями, вносимыми в Стандарты № 821 в соответствии с подпунктом</w:t>
      </w:r>
      <w:r w:rsidR="00883A2E">
        <w:rPr>
          <w:rFonts w:ascii="Times New Roman" w:eastAsia="Times New Roman" w:hAnsi="Times New Roman" w:cs="Times New Roman"/>
          <w:sz w:val="28"/>
          <w:szCs w:val="28"/>
          <w:lang w:eastAsia="ru-RU"/>
        </w:rPr>
        <w:t xml:space="preserve"> 2 пункта 1 настоящего перечня.</w:t>
      </w:r>
      <w:bookmarkStart w:id="0" w:name="_GoBack"/>
      <w:bookmarkEnd w:id="0"/>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Необходимый срок принятия — до 1 июня 2026 г</w:t>
      </w:r>
      <w:r w:rsidR="00453E10">
        <w:rPr>
          <w:rFonts w:ascii="Times New Roman" w:eastAsia="Times New Roman" w:hAnsi="Times New Roman" w:cs="Times New Roman"/>
          <w:sz w:val="28"/>
          <w:szCs w:val="28"/>
          <w:lang w:eastAsia="ru-RU"/>
        </w:rPr>
        <w:t>ода</w:t>
      </w:r>
      <w:r>
        <w:rPr>
          <w:rFonts w:ascii="Times New Roman" w:eastAsia="Times New Roman" w:hAnsi="Times New Roman" w:cs="Times New Roman"/>
          <w:sz w:val="28"/>
          <w:szCs w:val="28"/>
          <w:lang w:eastAsia="ru-RU"/>
        </w:rPr>
        <w:t>.</w:t>
      </w:r>
    </w:p>
    <w:p w:rsidR="00D80298" w:rsidRDefault="003325C6" w:rsidP="001C5B8A">
      <w:pPr>
        <w:shd w:val="clear" w:color="auto" w:fill="FFFFFF"/>
        <w:spacing w:after="0" w:line="336"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Федеральный орган исполнительной власти – исполнитель </w:t>
      </w:r>
      <w:r w:rsidR="00453E1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ФАС России.</w:t>
      </w:r>
    </w:p>
    <w:sectPr w:rsidR="00D80298">
      <w:headerReference w:type="default" r:id="rId7"/>
      <w:pgSz w:w="11906" w:h="16838"/>
      <w:pgMar w:top="1134" w:right="850" w:bottom="1134" w:left="141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6B8" w:rsidRDefault="00E616B8">
      <w:pPr>
        <w:spacing w:line="240" w:lineRule="auto"/>
      </w:pPr>
      <w:r>
        <w:separator/>
      </w:r>
    </w:p>
  </w:endnote>
  <w:endnote w:type="continuationSeparator" w:id="0">
    <w:p w:rsidR="00E616B8" w:rsidRDefault="00E616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6B8" w:rsidRDefault="00E616B8">
      <w:pPr>
        <w:spacing w:after="0"/>
      </w:pPr>
      <w:r>
        <w:separator/>
      </w:r>
    </w:p>
  </w:footnote>
  <w:footnote w:type="continuationSeparator" w:id="0">
    <w:p w:rsidR="00E616B8" w:rsidRDefault="00E616B8">
      <w:pPr>
        <w:spacing w:after="0"/>
      </w:pPr>
      <w:r>
        <w:continuationSeparator/>
      </w:r>
    </w:p>
  </w:footnote>
  <w:footnote w:id="1">
    <w:p w:rsidR="00D80298" w:rsidRDefault="003325C6">
      <w:pPr>
        <w:pStyle w:val="af1"/>
        <w:ind w:firstLine="709"/>
        <w:jc w:val="both"/>
        <w:rPr>
          <w:rFonts w:ascii="Times New Roman" w:hAnsi="Times New Roman" w:cs="Times New Roman"/>
        </w:rPr>
      </w:pPr>
      <w:r>
        <w:rPr>
          <w:rStyle w:val="af3"/>
          <w:rFonts w:ascii="Times New Roman" w:eastAsia="Times New Roman" w:hAnsi="Times New Roman" w:cs="Times New Roman"/>
        </w:rPr>
        <w:footnoteRef/>
      </w:r>
      <w:r>
        <w:rPr>
          <w:rFonts w:ascii="Times New Roman" w:eastAsia="Times New Roman" w:hAnsi="Times New Roman" w:cs="Times New Roman"/>
        </w:rPr>
        <w:t xml:space="preserve"> Под которыми в соответствии с частью 5.1 статьи 52.1 </w:t>
      </w:r>
      <w:proofErr w:type="spellStart"/>
      <w:r>
        <w:rPr>
          <w:rFonts w:ascii="Times New Roman" w:eastAsia="Times New Roman" w:hAnsi="Times New Roman" w:cs="Times New Roman"/>
        </w:rPr>
        <w:t>ГрК</w:t>
      </w:r>
      <w:proofErr w:type="spellEnd"/>
      <w:r>
        <w:rPr>
          <w:rFonts w:ascii="Times New Roman" w:eastAsia="Times New Roman" w:hAnsi="Times New Roman" w:cs="Times New Roman"/>
        </w:rPr>
        <w:t xml:space="preserve"> РФ в редакции Федерального закона понимаются государственные программы Российской Федерации, национальные проекты, государственные программы субъектов Российской Федерации, программы комплексного развития систем коммунальной инфраструктуры поселения, городского округа, инвестиционные программы лиц, планирующих осуществлять строительство, реконструкцию либо мероприятия </w:t>
      </w:r>
      <w:r w:rsidR="00FB724C">
        <w:rPr>
          <w:rFonts w:ascii="Times New Roman" w:eastAsia="Times New Roman" w:hAnsi="Times New Roman" w:cs="Times New Roman"/>
        </w:rPr>
        <w:br/>
      </w:r>
      <w:r>
        <w:rPr>
          <w:rFonts w:ascii="Times New Roman" w:eastAsia="Times New Roman" w:hAnsi="Times New Roman" w:cs="Times New Roman"/>
        </w:rPr>
        <w:t xml:space="preserve">по устранению ограничений пропускной способности сетей инженерно-технического обеспечения.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298" w:rsidRPr="001C5B8A" w:rsidRDefault="003325C6">
    <w:pPr>
      <w:pStyle w:val="ab"/>
      <w:jc w:val="center"/>
      <w:rPr>
        <w:rFonts w:ascii="Times New Roman" w:hAnsi="Times New Roman" w:cs="Times New Roman"/>
        <w:sz w:val="28"/>
        <w:szCs w:val="28"/>
      </w:rPr>
    </w:pPr>
    <w:r w:rsidRPr="001C5B8A">
      <w:rPr>
        <w:rFonts w:ascii="Times New Roman" w:eastAsia="Times New Roman" w:hAnsi="Times New Roman" w:cs="Times New Roman"/>
        <w:sz w:val="28"/>
        <w:szCs w:val="28"/>
      </w:rPr>
      <w:fldChar w:fldCharType="begin"/>
    </w:r>
    <w:r w:rsidRPr="001C5B8A">
      <w:rPr>
        <w:rFonts w:ascii="Times New Roman" w:eastAsia="Times New Roman" w:hAnsi="Times New Roman" w:cs="Times New Roman"/>
        <w:sz w:val="28"/>
        <w:szCs w:val="28"/>
      </w:rPr>
      <w:instrText>PAGE \* MERGEFORMAT</w:instrText>
    </w:r>
    <w:r w:rsidRPr="001C5B8A">
      <w:rPr>
        <w:rFonts w:ascii="Times New Roman" w:eastAsia="Times New Roman" w:hAnsi="Times New Roman" w:cs="Times New Roman"/>
        <w:sz w:val="28"/>
        <w:szCs w:val="28"/>
      </w:rPr>
      <w:fldChar w:fldCharType="separate"/>
    </w:r>
    <w:r w:rsidR="00883A2E">
      <w:rPr>
        <w:rFonts w:ascii="Times New Roman" w:eastAsia="Times New Roman" w:hAnsi="Times New Roman" w:cs="Times New Roman"/>
        <w:noProof/>
        <w:sz w:val="28"/>
        <w:szCs w:val="28"/>
      </w:rPr>
      <w:t>2</w:t>
    </w:r>
    <w:r w:rsidRPr="001C5B8A">
      <w:rPr>
        <w:rFonts w:ascii="Times New Roman" w:eastAsia="Times New Roman" w:hAnsi="Times New Roman" w:cs="Times New Roman"/>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98"/>
    <w:rsid w:val="001C5B8A"/>
    <w:rsid w:val="003325C6"/>
    <w:rsid w:val="00412A48"/>
    <w:rsid w:val="00453E10"/>
    <w:rsid w:val="00457EC6"/>
    <w:rsid w:val="007E42E1"/>
    <w:rsid w:val="00883A2E"/>
    <w:rsid w:val="00B36473"/>
    <w:rsid w:val="00D51D74"/>
    <w:rsid w:val="00D80298"/>
    <w:rsid w:val="00DD3638"/>
    <w:rsid w:val="00E616B8"/>
    <w:rsid w:val="00FB7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BAE6F8-24AD-442E-8895-502D1A01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aa">
    <w:name w:val="Верхний колонтитул Знак"/>
    <w:basedOn w:val="a0"/>
    <w:link w:val="ab"/>
    <w:uiPriority w:val="99"/>
  </w:style>
  <w:style w:type="character" w:customStyle="1" w:styleId="ac">
    <w:name w:val="Нижний колонтитул Знак"/>
    <w:basedOn w:val="a0"/>
    <w:link w:val="ad"/>
    <w:uiPriority w:val="99"/>
  </w:style>
  <w:style w:type="paragraph" w:styleId="ae">
    <w:name w:val="caption"/>
    <w:basedOn w:val="a"/>
    <w:next w:val="a"/>
    <w:link w:val="af"/>
    <w:uiPriority w:val="35"/>
    <w:semiHidden/>
    <w:unhideWhenUsed/>
    <w:qFormat/>
    <w:rPr>
      <w:b/>
      <w:bCs/>
      <w:color w:val="4F81BD" w:themeColor="accent1"/>
      <w:sz w:val="18"/>
      <w:szCs w:val="18"/>
    </w:rPr>
  </w:style>
  <w:style w:type="character" w:customStyle="1" w:styleId="af">
    <w:name w:val="Название объекта Знак"/>
    <w:basedOn w:val="a0"/>
    <w:link w:val="ae"/>
    <w:uiPriority w:val="35"/>
    <w:rPr>
      <w:b/>
      <w:bCs/>
      <w:color w:val="4F81BD" w:themeColor="accent1"/>
      <w:sz w:val="18"/>
      <w:szCs w:val="18"/>
    </w:rPr>
  </w:style>
  <w:style w:type="table" w:styleId="a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styleId="af9">
    <w:name w:val="annotation reference"/>
    <w:basedOn w:val="a0"/>
    <w:uiPriority w:val="99"/>
    <w:semiHidden/>
    <w:unhideWhenUsed/>
    <w:rPr>
      <w:sz w:val="16"/>
      <w:szCs w:val="16"/>
    </w:rPr>
  </w:style>
  <w:style w:type="character" w:styleId="afa">
    <w:name w:val="Hyperlink"/>
    <w:basedOn w:val="a0"/>
    <w:uiPriority w:val="99"/>
    <w:semiHidden/>
    <w:unhideWhenUsed/>
    <w:rPr>
      <w:color w:val="0000FF"/>
      <w:u w:val="single"/>
    </w:r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paragraph" w:styleId="afd">
    <w:name w:val="annotation text"/>
    <w:basedOn w:val="a"/>
    <w:link w:val="afe"/>
    <w:uiPriority w:val="99"/>
    <w:semiHidden/>
    <w:unhideWhenUsed/>
    <w:pPr>
      <w:spacing w:line="240" w:lineRule="auto"/>
    </w:pPr>
    <w:rPr>
      <w:sz w:val="20"/>
      <w:szCs w:val="20"/>
    </w:rPr>
  </w:style>
  <w:style w:type="paragraph" w:styleId="aff">
    <w:name w:val="annotation subject"/>
    <w:basedOn w:val="afd"/>
    <w:next w:val="afd"/>
    <w:link w:val="aff0"/>
    <w:uiPriority w:val="99"/>
    <w:semiHidden/>
    <w:unhideWhenUsed/>
    <w:qFormat/>
    <w:rPr>
      <w:b/>
      <w:bCs/>
    </w:rPr>
  </w:style>
  <w:style w:type="paragraph" w:styleId="ab">
    <w:name w:val="header"/>
    <w:basedOn w:val="a"/>
    <w:link w:val="aa"/>
    <w:uiPriority w:val="99"/>
    <w:unhideWhenUsed/>
    <w:pPr>
      <w:tabs>
        <w:tab w:val="center" w:pos="4153"/>
        <w:tab w:val="right" w:pos="8306"/>
      </w:tabs>
    </w:pPr>
  </w:style>
  <w:style w:type="paragraph" w:styleId="ad">
    <w:name w:val="footer"/>
    <w:basedOn w:val="a"/>
    <w:link w:val="ac"/>
    <w:uiPriority w:val="99"/>
    <w:unhideWhenUsed/>
    <w:qFormat/>
    <w:pPr>
      <w:tabs>
        <w:tab w:val="center" w:pos="4153"/>
        <w:tab w:val="right" w:pos="8306"/>
      </w:tabs>
    </w:pPr>
  </w:style>
  <w:style w:type="paragraph" w:styleId="aff1">
    <w:name w:val="Normal (Web)"/>
    <w:basedOn w:val="a"/>
    <w:uiPriority w:val="99"/>
    <w:semiHidden/>
    <w:unhideWhenUsed/>
    <w:qFormat/>
    <w:rPr>
      <w:sz w:val="24"/>
      <w:szCs w:val="24"/>
    </w:rPr>
  </w:style>
  <w:style w:type="paragraph" w:styleId="aff2">
    <w:name w:val="List Paragraph"/>
    <w:basedOn w:val="a"/>
    <w:uiPriority w:val="34"/>
    <w:qFormat/>
    <w:pPr>
      <w:ind w:left="720"/>
      <w:contextualSpacing/>
    </w:pPr>
  </w:style>
  <w:style w:type="character" w:customStyle="1" w:styleId="afc">
    <w:name w:val="Текст выноски Знак"/>
    <w:basedOn w:val="a0"/>
    <w:link w:val="afb"/>
    <w:uiPriority w:val="99"/>
    <w:semiHidden/>
    <w:qFormat/>
    <w:rPr>
      <w:rFonts w:ascii="Tahoma" w:eastAsiaTheme="minorHAnsi" w:hAnsi="Tahoma" w:cs="Tahoma"/>
      <w:sz w:val="16"/>
      <w:szCs w:val="16"/>
      <w:lang w:eastAsia="en-US"/>
    </w:rPr>
  </w:style>
  <w:style w:type="character" w:customStyle="1" w:styleId="afe">
    <w:name w:val="Текст примечания Знак"/>
    <w:basedOn w:val="a0"/>
    <w:link w:val="afd"/>
    <w:uiPriority w:val="99"/>
    <w:semiHidden/>
    <w:rPr>
      <w:rFonts w:asciiTheme="minorHAnsi" w:eastAsiaTheme="minorHAnsi" w:hAnsiTheme="minorHAnsi" w:cstheme="minorBidi"/>
      <w:lang w:eastAsia="en-US"/>
    </w:rPr>
  </w:style>
  <w:style w:type="character" w:customStyle="1" w:styleId="aff0">
    <w:name w:val="Тема примечания Знак"/>
    <w:basedOn w:val="afe"/>
    <w:link w:val="aff"/>
    <w:uiPriority w:val="99"/>
    <w:semiHidden/>
    <w:qFormat/>
    <w:rPr>
      <w:rFonts w:asciiTheme="minorHAnsi" w:eastAsiaTheme="minorHAnsi" w:hAnsiTheme="minorHAnsi" w:cstheme="minorBidi"/>
      <w:b/>
      <w:bCs/>
      <w:lang w:eastAsia="en-US"/>
    </w:rPr>
  </w:style>
  <w:style w:type="paragraph" w:customStyle="1" w:styleId="13">
    <w:name w:val="Рецензия1"/>
    <w:hidden/>
    <w:uiPriority w:val="99"/>
    <w:semiHidden/>
    <w:rPr>
      <w:rFonts w:asciiTheme="minorHAnsi" w:eastAsiaTheme="minorHAnsi" w:hAnsiTheme="minorHAnsi" w:cstheme="minorBidi"/>
      <w:sz w:val="22"/>
      <w:szCs w:val="22"/>
      <w:lang w:eastAsia="en-US"/>
    </w:rPr>
  </w:style>
  <w:style w:type="paragraph" w:customStyle="1" w:styleId="ConsPlusNormal">
    <w:name w:val="ConsPlusNormal"/>
    <w:pPr>
      <w:pBdr>
        <w:top w:val="none" w:sz="4" w:space="0" w:color="000000"/>
        <w:left w:val="none" w:sz="4" w:space="0" w:color="000000"/>
        <w:bottom w:val="none" w:sz="4" w:space="0" w:color="000000"/>
        <w:right w:val="none" w:sz="4" w:space="0" w:color="000000"/>
        <w:between w:val="none" w:sz="4" w:space="0" w:color="000000"/>
      </w:pBdr>
    </w:pPr>
    <w:rPr>
      <w:rFonts w:ascii="TimesNewRoman" w:eastAsia="TimesNewRoman" w:hAnsi="TimesNewRoman" w:cs="TimesNewRoman"/>
      <w:sz w:val="24"/>
      <w:lang w:val="en-US" w:eastAsia="zh-CN"/>
    </w:rPr>
  </w:style>
  <w:style w:type="paragraph" w:customStyle="1" w:styleId="ConsPlusNormal0">
    <w:name w:val="ConsPlu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Times New Roman" w:hAnsi="Arial" w:cs="Arial"/>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imes New Roman" w:hAnsi="Arial" w:cs="Arial"/>
      <w:b/>
      <w:bCs/>
    </w:rPr>
  </w:style>
  <w:style w:type="character" w:customStyle="1" w:styleId="CharStyle23">
    <w:name w:val="Char Style 23"/>
    <w:uiPriority w:val="99"/>
    <w:rPr>
      <w:b/>
      <w:bCs/>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559</Words>
  <Characters>3189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 аграрного зак-ва 3</dc:creator>
  <cp:lastModifiedBy>Кислов А.И.</cp:lastModifiedBy>
  <cp:revision>6</cp:revision>
  <dcterms:created xsi:type="dcterms:W3CDTF">2026-05-04T14:01:00Z</dcterms:created>
  <dcterms:modified xsi:type="dcterms:W3CDTF">2026-05-04T14:35:00Z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DF86255F6BD24A8E9256BF8EA290B730</vt:lpwstr>
  </property>
</Properties>
</file>