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C23" w:rsidRDefault="00512C23" w:rsidP="00512C23">
      <w:pPr>
        <w:spacing w:after="0" w:line="312"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ПОЯСНИТЕЛЬНАЯ ЗАПИСКА</w:t>
      </w:r>
    </w:p>
    <w:p w:rsidR="00D80298" w:rsidRDefault="005554C9">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 xml:space="preserve">к проекту федерального закона </w:t>
      </w:r>
      <w:r w:rsidR="00512C23">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О внесении изменений в статью 52</w:t>
      </w:r>
      <w:r>
        <w:rPr>
          <w:rFonts w:ascii="Times New Roman" w:eastAsia="Times New Roman" w:hAnsi="Times New Roman" w:cs="Times New Roman"/>
          <w:b/>
          <w:sz w:val="28"/>
          <w:szCs w:val="28"/>
          <w:vertAlign w:val="superscript"/>
        </w:rPr>
        <w:t>1</w:t>
      </w:r>
      <w:r>
        <w:rPr>
          <w:rFonts w:ascii="Times New Roman" w:eastAsia="Times New Roman" w:hAnsi="Times New Roman" w:cs="Times New Roman"/>
          <w:b/>
          <w:sz w:val="28"/>
          <w:szCs w:val="28"/>
        </w:rPr>
        <w:t xml:space="preserve"> Градостроительного кодекса Российской Федерации</w:t>
      </w:r>
      <w:r w:rsidR="00512C23">
        <w:rPr>
          <w:rFonts w:ascii="Times New Roman" w:eastAsia="Times New Roman" w:hAnsi="Times New Roman" w:cs="Times New Roman"/>
          <w:b/>
          <w:sz w:val="28"/>
          <w:szCs w:val="28"/>
        </w:rPr>
        <w:t>"</w:t>
      </w:r>
    </w:p>
    <w:p w:rsidR="00D80298" w:rsidRDefault="00D80298">
      <w:pPr>
        <w:spacing w:after="0" w:line="240" w:lineRule="auto"/>
        <w:jc w:val="center"/>
        <w:rPr>
          <w:rFonts w:ascii="Times New Roman" w:hAnsi="Times New Roman" w:cs="Times New Roman"/>
          <w:b/>
          <w:sz w:val="28"/>
          <w:szCs w:val="28"/>
        </w:rPr>
      </w:pP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Проект федерального закона </w:t>
      </w:r>
      <w:r w:rsidR="00512C2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 внесении изменений в статью 52</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Градостроительного кодекса Российской Федерации</w:t>
      </w:r>
      <w:r w:rsidR="00512C2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(далее – Законопроект) подготовлен в целях устранения правового пробела, препятствующего эффективной реализации государственных программ Российской Федерации, национальных проектов, государственных программам субъектов Российской Федерации, программ комплексного развития систем коммунальной инфраструктуры поселения, городского округа, инвестиционных программ хозяйствующих субъектов, реализуемых в сфере развития сетей инженерно-технического обеспечения (далее – государственные и инвестиционные программы).</w:t>
      </w: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частности, действующая редакция статьи 52</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Градостроительного кодекса Российской Федерации (далее – </w:t>
      </w:r>
      <w:proofErr w:type="spellStart"/>
      <w:r>
        <w:rPr>
          <w:rFonts w:ascii="Times New Roman" w:eastAsia="Times New Roman" w:hAnsi="Times New Roman" w:cs="Times New Roman"/>
          <w:sz w:val="28"/>
          <w:szCs w:val="28"/>
          <w:lang w:eastAsia="ru-RU"/>
        </w:rPr>
        <w:t>ГрК</w:t>
      </w:r>
      <w:proofErr w:type="spellEnd"/>
      <w:r>
        <w:rPr>
          <w:rFonts w:ascii="Times New Roman" w:eastAsia="Times New Roman" w:hAnsi="Times New Roman" w:cs="Times New Roman"/>
          <w:sz w:val="28"/>
          <w:szCs w:val="28"/>
          <w:lang w:eastAsia="ru-RU"/>
        </w:rPr>
        <w:t xml:space="preserve"> РФ) не предусматривает возможность выдачи предварительных технических условий на подключение (технологическое присоединение) объектов капитального строительства к сетям инженерно-т</w:t>
      </w:r>
      <w:r w:rsidR="00DB4C4B">
        <w:rPr>
          <w:rFonts w:ascii="Times New Roman" w:eastAsia="Times New Roman" w:hAnsi="Times New Roman" w:cs="Times New Roman"/>
          <w:sz w:val="28"/>
          <w:szCs w:val="28"/>
          <w:lang w:eastAsia="ru-RU"/>
        </w:rPr>
        <w:t>ехнического обеспечения (далее –</w:t>
      </w:r>
      <w:r>
        <w:rPr>
          <w:rFonts w:ascii="Times New Roman" w:eastAsia="Times New Roman" w:hAnsi="Times New Roman" w:cs="Times New Roman"/>
          <w:sz w:val="28"/>
          <w:szCs w:val="28"/>
          <w:lang w:eastAsia="ru-RU"/>
        </w:rPr>
        <w:t xml:space="preserve"> предварительные технические условия), мероприятия по устранению ограничений пропускной способности которых, не связанные со строительством или реконструкцией сети инженерно-технического обеспечения, подключение к которой планируется, предусмотрены государственными и инвестиционными программами, однако не завершены </w:t>
      </w:r>
      <w:r w:rsidR="00DB4C4B">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на момент обращения заявителя.</w:t>
      </w:r>
    </w:p>
    <w:p w:rsidR="00D80298" w:rsidRDefault="005554C9" w:rsidP="00512C23">
      <w:pPr>
        <w:tabs>
          <w:tab w:val="left" w:pos="993"/>
        </w:tabs>
        <w:spacing w:after="0"/>
        <w:ind w:firstLine="709"/>
        <w:jc w:val="both"/>
      </w:pPr>
      <w:r>
        <w:rPr>
          <w:rFonts w:ascii="Times New Roman" w:eastAsia="Times New Roman" w:hAnsi="Times New Roman" w:cs="Times New Roman"/>
          <w:sz w:val="28"/>
          <w:szCs w:val="28"/>
          <w:lang w:eastAsia="ru-RU"/>
        </w:rPr>
        <w:t xml:space="preserve">Описанный правовой пробел на практике приводит к таким негативным последствиям, как неоправданное увеличение продолжительности инвестиционно-строительного цикла и риск срыва сроков реализации инфраструктурных проектов из-за невозможности начать проектирование </w:t>
      </w:r>
      <w:r w:rsidR="00DB4C4B">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до завершения мероприятий по устранению ограничений пропускной способности сетей инженерно-технического обеспечения.</w:t>
      </w:r>
    </w:p>
    <w:p w:rsidR="00D80298" w:rsidRDefault="005554C9" w:rsidP="00512C23">
      <w:pPr>
        <w:tabs>
          <w:tab w:val="left" w:pos="993"/>
        </w:tabs>
        <w:spacing w:after="0"/>
        <w:ind w:firstLine="709"/>
        <w:jc w:val="both"/>
      </w:pPr>
      <w:r>
        <w:rPr>
          <w:rFonts w:ascii="Times New Roman" w:eastAsia="Times New Roman" w:hAnsi="Times New Roman" w:cs="Times New Roman"/>
          <w:sz w:val="28"/>
          <w:szCs w:val="28"/>
          <w:lang w:eastAsia="ru-RU"/>
        </w:rPr>
        <w:t>Для устранения указанного пробела в правовом регулировании Законопроектом предлагается наделить Правительство Российской Федерации полномочием установить случаи, в которых выдача предусмотренных частью 5</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статьи 52</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ГрК</w:t>
      </w:r>
      <w:proofErr w:type="spellEnd"/>
      <w:r>
        <w:rPr>
          <w:rFonts w:ascii="Times New Roman" w:eastAsia="Times New Roman" w:hAnsi="Times New Roman" w:cs="Times New Roman"/>
          <w:sz w:val="28"/>
          <w:szCs w:val="28"/>
          <w:lang w:eastAsia="ru-RU"/>
        </w:rPr>
        <w:t xml:space="preserve"> РФ технических условий может осуществляться </w:t>
      </w:r>
      <w:r w:rsidR="00DB4C4B">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для планируемого подключения объекта капитального строительства к сетям инженерно-технического обеспечения (за исключением сетей электроснабжения), мероприятия по обеспечению возможности подключения к которым предусмотрены государственными и инвестиционными программами, но не завершены на момент обращения застройщика, технического заказчика, </w:t>
      </w:r>
      <w:r>
        <w:rPr>
          <w:rFonts w:ascii="Times New Roman" w:eastAsia="Times New Roman" w:hAnsi="Times New Roman" w:cs="Times New Roman"/>
          <w:sz w:val="28"/>
          <w:szCs w:val="28"/>
          <w:lang w:eastAsia="ru-RU"/>
        </w:rPr>
        <w:lastRenderedPageBreak/>
        <w:t xml:space="preserve">правообладателя объекта капитального строительства с запросом о выдаче предварительных технических условий. </w:t>
      </w: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Внесение предлагаемых Законопроектом изменений в часть 5</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статьи 52</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ГрК</w:t>
      </w:r>
      <w:proofErr w:type="spellEnd"/>
      <w:r>
        <w:rPr>
          <w:rFonts w:ascii="Times New Roman" w:eastAsia="Times New Roman" w:hAnsi="Times New Roman" w:cs="Times New Roman"/>
          <w:sz w:val="28"/>
          <w:szCs w:val="28"/>
          <w:lang w:eastAsia="ru-RU"/>
        </w:rPr>
        <w:t xml:space="preserve"> РФ: </w:t>
      </w: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обеспечит правовую определенность и синхронизацию действий заявителей (застройщиков, технических заказчиков, правообладателей объектов капитального строительства) и правообладателей сетей инженерно-технического обеспечения в рамках реализации государстве</w:t>
      </w:r>
      <w:r w:rsidR="00DB4C4B">
        <w:rPr>
          <w:rFonts w:ascii="Times New Roman" w:eastAsia="Times New Roman" w:hAnsi="Times New Roman" w:cs="Times New Roman"/>
          <w:sz w:val="28"/>
          <w:szCs w:val="28"/>
          <w:lang w:eastAsia="ru-RU"/>
        </w:rPr>
        <w:t>нных и инвестиционных программ;</w:t>
      </w: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позволит создать условия для заблаговременной разработки и экспертизы проектной документации, что является одним из ключевых факторов сокращения сроков</w:t>
      </w:r>
      <w:r w:rsidR="00DB4C4B">
        <w:rPr>
          <w:rFonts w:ascii="Times New Roman" w:eastAsia="Times New Roman" w:hAnsi="Times New Roman" w:cs="Times New Roman"/>
          <w:sz w:val="28"/>
          <w:szCs w:val="28"/>
          <w:lang w:eastAsia="ru-RU"/>
        </w:rPr>
        <w:t xml:space="preserve"> ввода объектов в эксплуатацию;</w:t>
      </w: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будет способствовать повышению эффективности исполнения государственных и инвестиционных программ за счет устранения избыточных административных барьеров для застройщиков, технических заказчиков и правообладателей объектов капитального строительства. </w:t>
      </w: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Принятие Законопроекта не повлечет дополнительных расходов, покрываемых за счет средств федерального бюджета, а также увеличения штатной численности федеральных органов исполнительной власти.</w:t>
      </w: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Законопроект соответствует положениям Договора о Евразийском экономическом союзе, а также положениям иных международных договоров Российской Федерации.</w:t>
      </w:r>
    </w:p>
    <w:p w:rsidR="00DB4C4B" w:rsidRDefault="005554C9" w:rsidP="00512C23">
      <w:pPr>
        <w:tabs>
          <w:tab w:val="left" w:pos="993"/>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Законопроектом предусмотрены требования, которые связаны </w:t>
      </w:r>
      <w:r w:rsidR="00DB4C4B">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сведения </w:t>
      </w:r>
      <w:r w:rsidR="00DB4C4B">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о соответствующем виде государственного контроля (надзора), виде разрешительной деятельности и предполагаемой ответственности за нарушение обязательных требований или последствиях их несоблюдения.</w:t>
      </w:r>
    </w:p>
    <w:p w:rsidR="00D80298" w:rsidRDefault="005554C9" w:rsidP="00512C23">
      <w:pPr>
        <w:tabs>
          <w:tab w:val="left" w:pos="993"/>
        </w:tabs>
        <w:spacing w:after="0"/>
        <w:ind w:firstLine="709"/>
        <w:jc w:val="both"/>
        <w:rPr>
          <w:rFonts w:ascii="Times New Roman" w:hAnsi="Times New Roman" w:cs="Times New Roman"/>
          <w:sz w:val="28"/>
          <w:szCs w:val="28"/>
        </w:rPr>
      </w:pPr>
      <w:bookmarkStart w:id="0" w:name="_GoBack"/>
      <w:bookmarkEnd w:id="0"/>
      <w:r>
        <w:rPr>
          <w:rFonts w:ascii="Times New Roman" w:eastAsia="Times New Roman" w:hAnsi="Times New Roman" w:cs="Times New Roman"/>
          <w:sz w:val="28"/>
          <w:szCs w:val="28"/>
          <w:lang w:eastAsia="ru-RU"/>
        </w:rPr>
        <w:t xml:space="preserve">Особый срок вступления в силу Законопроекта учитывает требования Федерального закона от 31 июля 2020 г. № 247-ФЗ </w:t>
      </w:r>
      <w:r w:rsidR="00512C2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Об обязательных требованиях в Российской Федерации</w:t>
      </w:r>
      <w:r w:rsidR="00512C2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и тот факт, что принятие Законопроекта повлечет за собой необходимость подготовки и принятия подзаконных нормативных правовых актов.</w:t>
      </w:r>
    </w:p>
    <w:sectPr w:rsidR="00D80298">
      <w:headerReference w:type="default" r:id="rId7"/>
      <w:pgSz w:w="11906" w:h="16838"/>
      <w:pgMar w:top="1134" w:right="850" w:bottom="1134" w:left="141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B84" w:rsidRDefault="00065B84">
      <w:pPr>
        <w:spacing w:line="240" w:lineRule="auto"/>
      </w:pPr>
      <w:r>
        <w:separator/>
      </w:r>
    </w:p>
  </w:endnote>
  <w:endnote w:type="continuationSeparator" w:id="0">
    <w:p w:rsidR="00065B84" w:rsidRDefault="00065B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B84" w:rsidRDefault="00065B84">
      <w:pPr>
        <w:spacing w:after="0"/>
      </w:pPr>
      <w:r>
        <w:separator/>
      </w:r>
    </w:p>
  </w:footnote>
  <w:footnote w:type="continuationSeparator" w:id="0">
    <w:p w:rsidR="00065B84" w:rsidRDefault="00065B8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298" w:rsidRPr="00DB4C4B" w:rsidRDefault="005554C9">
    <w:pPr>
      <w:pStyle w:val="ab"/>
      <w:jc w:val="center"/>
      <w:rPr>
        <w:rFonts w:ascii="Times New Roman" w:hAnsi="Times New Roman" w:cs="Times New Roman"/>
        <w:sz w:val="28"/>
        <w:szCs w:val="28"/>
      </w:rPr>
    </w:pPr>
    <w:r w:rsidRPr="00DB4C4B">
      <w:rPr>
        <w:rFonts w:ascii="Times New Roman" w:eastAsia="Times New Roman" w:hAnsi="Times New Roman" w:cs="Times New Roman"/>
        <w:sz w:val="28"/>
        <w:szCs w:val="28"/>
      </w:rPr>
      <w:fldChar w:fldCharType="begin"/>
    </w:r>
    <w:r w:rsidRPr="00DB4C4B">
      <w:rPr>
        <w:rFonts w:ascii="Times New Roman" w:eastAsia="Times New Roman" w:hAnsi="Times New Roman" w:cs="Times New Roman"/>
        <w:sz w:val="28"/>
        <w:szCs w:val="28"/>
      </w:rPr>
      <w:instrText>PAGE \* MERGEFORMAT</w:instrText>
    </w:r>
    <w:r w:rsidRPr="00DB4C4B">
      <w:rPr>
        <w:rFonts w:ascii="Times New Roman" w:eastAsia="Times New Roman" w:hAnsi="Times New Roman" w:cs="Times New Roman"/>
        <w:sz w:val="28"/>
        <w:szCs w:val="28"/>
      </w:rPr>
      <w:fldChar w:fldCharType="separate"/>
    </w:r>
    <w:r w:rsidR="00DB4C4B">
      <w:rPr>
        <w:rFonts w:ascii="Times New Roman" w:eastAsia="Times New Roman" w:hAnsi="Times New Roman" w:cs="Times New Roman"/>
        <w:noProof/>
        <w:sz w:val="28"/>
        <w:szCs w:val="28"/>
      </w:rPr>
      <w:t>2</w:t>
    </w:r>
    <w:r w:rsidRPr="00DB4C4B">
      <w:rPr>
        <w:rFonts w:ascii="Times New Roman" w:eastAsia="Times New Roman" w:hAnsi="Times New Roman" w:cs="Times New Roman"/>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298"/>
    <w:rsid w:val="00065B84"/>
    <w:rsid w:val="00457EC6"/>
    <w:rsid w:val="00512C23"/>
    <w:rsid w:val="005554C9"/>
    <w:rsid w:val="0058009B"/>
    <w:rsid w:val="007E42E1"/>
    <w:rsid w:val="008C38E9"/>
    <w:rsid w:val="00D80298"/>
    <w:rsid w:val="00DB4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BAE6F8-24AD-442E-8895-502D1A019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aa">
    <w:name w:val="Верхний колонтитул Знак"/>
    <w:basedOn w:val="a0"/>
    <w:link w:val="ab"/>
    <w:uiPriority w:val="99"/>
  </w:style>
  <w:style w:type="character" w:customStyle="1" w:styleId="ac">
    <w:name w:val="Нижний колонтитул Знак"/>
    <w:basedOn w:val="a0"/>
    <w:link w:val="ad"/>
    <w:uiPriority w:val="99"/>
  </w:style>
  <w:style w:type="paragraph" w:styleId="ae">
    <w:name w:val="caption"/>
    <w:basedOn w:val="a"/>
    <w:next w:val="a"/>
    <w:link w:val="af"/>
    <w:uiPriority w:val="35"/>
    <w:semiHidden/>
    <w:unhideWhenUsed/>
    <w:qFormat/>
    <w:rPr>
      <w:b/>
      <w:bCs/>
      <w:color w:val="4F81BD" w:themeColor="accent1"/>
      <w:sz w:val="18"/>
      <w:szCs w:val="18"/>
    </w:rPr>
  </w:style>
  <w:style w:type="character" w:customStyle="1" w:styleId="af">
    <w:name w:val="Название объекта Знак"/>
    <w:basedOn w:val="a0"/>
    <w:link w:val="ae"/>
    <w:uiPriority w:val="35"/>
    <w:rPr>
      <w:b/>
      <w:bCs/>
      <w:color w:val="4F81BD" w:themeColor="accent1"/>
      <w:sz w:val="18"/>
      <w:szCs w:val="18"/>
    </w:rPr>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character" w:styleId="af9">
    <w:name w:val="annotation reference"/>
    <w:basedOn w:val="a0"/>
    <w:uiPriority w:val="99"/>
    <w:semiHidden/>
    <w:unhideWhenUsed/>
    <w:rPr>
      <w:sz w:val="16"/>
      <w:szCs w:val="16"/>
    </w:rPr>
  </w:style>
  <w:style w:type="character" w:styleId="afa">
    <w:name w:val="Hyperlink"/>
    <w:basedOn w:val="a0"/>
    <w:uiPriority w:val="99"/>
    <w:semiHidden/>
    <w:unhideWhenUsed/>
    <w:rPr>
      <w:color w:val="0000FF"/>
      <w:u w:val="single"/>
    </w:rPr>
  </w:style>
  <w:style w:type="paragraph" w:styleId="afb">
    <w:name w:val="Balloon Text"/>
    <w:basedOn w:val="a"/>
    <w:link w:val="afc"/>
    <w:uiPriority w:val="99"/>
    <w:semiHidden/>
    <w:unhideWhenUsed/>
    <w:pPr>
      <w:spacing w:after="0" w:line="240" w:lineRule="auto"/>
    </w:pPr>
    <w:rPr>
      <w:rFonts w:ascii="Tahoma" w:hAnsi="Tahoma" w:cs="Tahoma"/>
      <w:sz w:val="16"/>
      <w:szCs w:val="16"/>
    </w:rPr>
  </w:style>
  <w:style w:type="paragraph" w:styleId="afd">
    <w:name w:val="annotation text"/>
    <w:basedOn w:val="a"/>
    <w:link w:val="afe"/>
    <w:uiPriority w:val="99"/>
    <w:semiHidden/>
    <w:unhideWhenUsed/>
    <w:pPr>
      <w:spacing w:line="240" w:lineRule="auto"/>
    </w:pPr>
    <w:rPr>
      <w:sz w:val="20"/>
      <w:szCs w:val="20"/>
    </w:rPr>
  </w:style>
  <w:style w:type="paragraph" w:styleId="aff">
    <w:name w:val="annotation subject"/>
    <w:basedOn w:val="afd"/>
    <w:next w:val="afd"/>
    <w:link w:val="aff0"/>
    <w:uiPriority w:val="99"/>
    <w:semiHidden/>
    <w:unhideWhenUsed/>
    <w:qFormat/>
    <w:rPr>
      <w:b/>
      <w:bCs/>
    </w:rPr>
  </w:style>
  <w:style w:type="paragraph" w:styleId="ab">
    <w:name w:val="header"/>
    <w:basedOn w:val="a"/>
    <w:link w:val="aa"/>
    <w:uiPriority w:val="99"/>
    <w:unhideWhenUsed/>
    <w:pPr>
      <w:tabs>
        <w:tab w:val="center" w:pos="4153"/>
        <w:tab w:val="right" w:pos="8306"/>
      </w:tabs>
    </w:pPr>
  </w:style>
  <w:style w:type="paragraph" w:styleId="ad">
    <w:name w:val="footer"/>
    <w:basedOn w:val="a"/>
    <w:link w:val="ac"/>
    <w:uiPriority w:val="99"/>
    <w:unhideWhenUsed/>
    <w:qFormat/>
    <w:pPr>
      <w:tabs>
        <w:tab w:val="center" w:pos="4153"/>
        <w:tab w:val="right" w:pos="8306"/>
      </w:tabs>
    </w:pPr>
  </w:style>
  <w:style w:type="paragraph" w:styleId="aff1">
    <w:name w:val="Normal (Web)"/>
    <w:basedOn w:val="a"/>
    <w:uiPriority w:val="99"/>
    <w:semiHidden/>
    <w:unhideWhenUsed/>
    <w:qFormat/>
    <w:rPr>
      <w:sz w:val="24"/>
      <w:szCs w:val="24"/>
    </w:rPr>
  </w:style>
  <w:style w:type="paragraph" w:styleId="aff2">
    <w:name w:val="List Paragraph"/>
    <w:basedOn w:val="a"/>
    <w:uiPriority w:val="34"/>
    <w:qFormat/>
    <w:pPr>
      <w:ind w:left="720"/>
      <w:contextualSpacing/>
    </w:pPr>
  </w:style>
  <w:style w:type="character" w:customStyle="1" w:styleId="afc">
    <w:name w:val="Текст выноски Знак"/>
    <w:basedOn w:val="a0"/>
    <w:link w:val="afb"/>
    <w:uiPriority w:val="99"/>
    <w:semiHidden/>
    <w:qFormat/>
    <w:rPr>
      <w:rFonts w:ascii="Tahoma" w:eastAsiaTheme="minorHAnsi" w:hAnsi="Tahoma" w:cs="Tahoma"/>
      <w:sz w:val="16"/>
      <w:szCs w:val="16"/>
      <w:lang w:eastAsia="en-US"/>
    </w:rPr>
  </w:style>
  <w:style w:type="character" w:customStyle="1" w:styleId="afe">
    <w:name w:val="Текст примечания Знак"/>
    <w:basedOn w:val="a0"/>
    <w:link w:val="afd"/>
    <w:uiPriority w:val="99"/>
    <w:semiHidden/>
    <w:rPr>
      <w:rFonts w:asciiTheme="minorHAnsi" w:eastAsiaTheme="minorHAnsi" w:hAnsiTheme="minorHAnsi" w:cstheme="minorBidi"/>
      <w:lang w:eastAsia="en-US"/>
    </w:rPr>
  </w:style>
  <w:style w:type="character" w:customStyle="1" w:styleId="aff0">
    <w:name w:val="Тема примечания Знак"/>
    <w:basedOn w:val="afe"/>
    <w:link w:val="aff"/>
    <w:uiPriority w:val="99"/>
    <w:semiHidden/>
    <w:qFormat/>
    <w:rPr>
      <w:rFonts w:asciiTheme="minorHAnsi" w:eastAsiaTheme="minorHAnsi" w:hAnsiTheme="minorHAnsi" w:cstheme="minorBidi"/>
      <w:b/>
      <w:bCs/>
      <w:lang w:eastAsia="en-US"/>
    </w:rPr>
  </w:style>
  <w:style w:type="paragraph" w:customStyle="1" w:styleId="13">
    <w:name w:val="Рецензия1"/>
    <w:hidden/>
    <w:uiPriority w:val="99"/>
    <w:semiHidden/>
    <w:rPr>
      <w:rFonts w:asciiTheme="minorHAnsi" w:eastAsiaTheme="minorHAnsi" w:hAnsiTheme="minorHAnsi" w:cstheme="minorBidi"/>
      <w:sz w:val="22"/>
      <w:szCs w:val="22"/>
      <w:lang w:eastAsia="en-US"/>
    </w:rPr>
  </w:style>
  <w:style w:type="paragraph" w:customStyle="1" w:styleId="ConsPlusNormal">
    <w:name w:val="ConsPlusNormal"/>
    <w:pPr>
      <w:pBdr>
        <w:top w:val="none" w:sz="4" w:space="0" w:color="000000"/>
        <w:left w:val="none" w:sz="4" w:space="0" w:color="000000"/>
        <w:bottom w:val="none" w:sz="4" w:space="0" w:color="000000"/>
        <w:right w:val="none" w:sz="4" w:space="0" w:color="000000"/>
        <w:between w:val="none" w:sz="4" w:space="0" w:color="000000"/>
      </w:pBdr>
    </w:pPr>
    <w:rPr>
      <w:rFonts w:ascii="TimesNewRoman" w:eastAsia="TimesNewRoman" w:hAnsi="TimesNewRoman" w:cs="TimesNewRoman"/>
      <w:sz w:val="24"/>
      <w:lang w:val="en-US" w:eastAsia="zh-CN"/>
    </w:rPr>
  </w:style>
  <w:style w:type="paragraph" w:customStyle="1" w:styleId="ConsPlusNormal0">
    <w:name w:val="ConsPlu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Times New Roman" w:hAnsi="Arial" w:cs="Arial"/>
    </w:rPr>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imes New Roman" w:hAnsi="Arial" w:cs="Arial"/>
      <w:b/>
      <w:bCs/>
    </w:rPr>
  </w:style>
  <w:style w:type="character" w:customStyle="1" w:styleId="CharStyle23">
    <w:name w:val="Char Style 23"/>
    <w:uiPriority w:val="99"/>
    <w:rPr>
      <w:b/>
      <w:bCs/>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680</Words>
  <Characters>3881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 аграрного зак-ва 3</dc:creator>
  <cp:lastModifiedBy>Кислов А.И.</cp:lastModifiedBy>
  <cp:revision>5</cp:revision>
  <dcterms:created xsi:type="dcterms:W3CDTF">2026-05-04T14:00:00Z</dcterms:created>
  <dcterms:modified xsi:type="dcterms:W3CDTF">2026-05-04T14:20:00Z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1049-12.2.0.13215</vt:lpwstr>
  </property>
  <property fmtid="{D5CDD505-2E9C-101B-9397-08002B2CF9AE}" pid="3" name="ICV">
    <vt:lpwstr>DF86255F6BD24A8E9256BF8EA290B730</vt:lpwstr>
  </property>
</Properties>
</file>