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940"/>
        <w:ind w:left="0" w:right="0" w:firstLine="0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ФИНАНСОВО-ЭКОНОМИЧЕСКОЕ ОБОСНОВАНИЕ</w:t>
        <w:br/>
        <w:t>к проекту федерального закона «О внесении изменений в статью 1359</w:t>
        <w:br/>
        <w:t>части четвертой Гражданского кодекса Российской Федерации»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9040"/>
        <w:ind w:left="0" w:right="0" w:firstLine="7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Реализация Федерального закона «О внесении изменений в статью 1359 части четвертой Гражданского кодекса Российской Федерации» не повлечет расходов из федерального бюджета.</w:t>
      </w:r>
    </w:p>
    <w:sectPr>
      <w:footnotePr>
        <w:pos w:val="pageBottom"/>
        <w:numFmt w:val="decimal"/>
        <w:numRestart w:val="continuous"/>
      </w:footnotePr>
      <w:pgSz w:w="11900" w:h="16840"/>
      <w:pgMar w:top="1607" w:left="1690" w:right="800" w:bottom="226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Основной текст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FFFFFF"/>
      <w:spacing w:after="600" w:line="360" w:lineRule="auto"/>
      <w:ind w:firstLine="350"/>
      <w:jc w:val="center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