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C06" w:rsidRDefault="00075312">
      <w:pPr>
        <w:pStyle w:val="1"/>
        <w:shd w:val="clear" w:color="auto" w:fill="auto"/>
        <w:spacing w:line="338" w:lineRule="auto"/>
        <w:ind w:firstLine="0"/>
        <w:jc w:val="center"/>
      </w:pPr>
      <w:r>
        <w:rPr>
          <w:b/>
          <w:bCs/>
        </w:rPr>
        <w:t>ПОЯСНИТЕЛЬНАЯ ЗАПИСКА</w:t>
      </w:r>
    </w:p>
    <w:p w:rsidR="00916C06" w:rsidRDefault="00075312">
      <w:pPr>
        <w:pStyle w:val="1"/>
        <w:shd w:val="clear" w:color="auto" w:fill="auto"/>
        <w:spacing w:after="940" w:line="338" w:lineRule="auto"/>
        <w:ind w:firstLine="0"/>
        <w:jc w:val="center"/>
      </w:pPr>
      <w:r>
        <w:rPr>
          <w:b/>
          <w:bCs/>
        </w:rPr>
        <w:t>к проекту федерального закона «О внесении изменений в статью 1359 части</w:t>
      </w:r>
      <w:r>
        <w:rPr>
          <w:b/>
          <w:bCs/>
        </w:rPr>
        <w:br/>
        <w:t>четвертой Гра</w:t>
      </w:r>
      <w:r w:rsidR="005D1FC6">
        <w:rPr>
          <w:b/>
          <w:bCs/>
        </w:rPr>
        <w:t>ж</w:t>
      </w:r>
      <w:bookmarkStart w:id="0" w:name="_GoBack"/>
      <w:bookmarkEnd w:id="0"/>
      <w:r>
        <w:rPr>
          <w:b/>
          <w:bCs/>
        </w:rPr>
        <w:t>данского кодекса Российской Федерации»</w:t>
      </w:r>
    </w:p>
    <w:p w:rsidR="00916C06" w:rsidRDefault="00075312">
      <w:pPr>
        <w:pStyle w:val="1"/>
        <w:shd w:val="clear" w:color="auto" w:fill="auto"/>
        <w:ind w:firstLine="700"/>
      </w:pPr>
      <w:r>
        <w:t xml:space="preserve">Проект федерального закона «О внесении изменений в статью 1359 части четвертой Гражданского кодекса </w:t>
      </w:r>
      <w:r>
        <w:t>Российской Федерации» (далее - законопроект) разработан в целях совершенствования положений гражданского законодательства в части уточнения перечня действий, осуществление которых допускается в отношении запатентованных изобретений.</w:t>
      </w:r>
    </w:p>
    <w:p w:rsidR="00916C06" w:rsidRDefault="00075312">
      <w:pPr>
        <w:pStyle w:val="1"/>
        <w:shd w:val="clear" w:color="auto" w:fill="auto"/>
        <w:ind w:firstLine="700"/>
      </w:pPr>
      <w:r>
        <w:t xml:space="preserve">Законопроект направлен </w:t>
      </w:r>
      <w:r>
        <w:t xml:space="preserve">на реализацию </w:t>
      </w:r>
      <w:proofErr w:type="gramStart"/>
      <w:r>
        <w:t>приоритетов Стратегии развития фармацевтической промышленности Российской Федерации</w:t>
      </w:r>
      <w:proofErr w:type="gramEnd"/>
      <w:r>
        <w:t xml:space="preserve"> на период до 2030 года, утвержденной распоряжением Правительства Российской Федерации от 07.06.2023 № 1495-р (далее - Стратегия), таких как обеспечение лекарс</w:t>
      </w:r>
      <w:r>
        <w:t>твенной независимости и национальной безопасности Российской Федерации за счет локального производства по полному производственному циклу на территории Российской Федерации, создание стабильных и предсказуемых условий для разработки, производства и сбыта ф</w:t>
      </w:r>
      <w:r>
        <w:t>армацевтической продукции в целях обеспечения инвестиционной привлекательности развития фармацевтической отрасли.</w:t>
      </w:r>
    </w:p>
    <w:p w:rsidR="00916C06" w:rsidRDefault="00075312">
      <w:pPr>
        <w:pStyle w:val="1"/>
        <w:shd w:val="clear" w:color="auto" w:fill="auto"/>
        <w:ind w:firstLine="700"/>
      </w:pPr>
      <w:r>
        <w:t>Существенное значение для достижения указанных приоритетов имеют разработка, производство и вывод на отечественный рынок воспроизведенных лека</w:t>
      </w:r>
      <w:r>
        <w:t>рственных средств (</w:t>
      </w:r>
      <w:proofErr w:type="spellStart"/>
      <w:r>
        <w:t>дженериков</w:t>
      </w:r>
      <w:proofErr w:type="spellEnd"/>
      <w:r>
        <w:t>) и устранение существующих в этой сфере нормативных и правоприменительных барьеров.</w:t>
      </w:r>
    </w:p>
    <w:p w:rsidR="00916C06" w:rsidRDefault="00075312">
      <w:pPr>
        <w:pStyle w:val="1"/>
        <w:shd w:val="clear" w:color="auto" w:fill="auto"/>
        <w:spacing w:after="480"/>
        <w:ind w:firstLine="700"/>
      </w:pPr>
      <w:r>
        <w:t>Одним из таких барьеров является отсутствие правовой определенности в отношении перечня действий, которые могут осуществляться с запатентованн</w:t>
      </w:r>
      <w:r>
        <w:t xml:space="preserve">ым изобретением, воплощенном в оригинальном и (или) </w:t>
      </w:r>
      <w:proofErr w:type="spellStart"/>
      <w:r>
        <w:t>референтном</w:t>
      </w:r>
      <w:proofErr w:type="spellEnd"/>
      <w:r>
        <w:t xml:space="preserve"> лекарственном средстве, в частности, допускается ли осуществление действий, направленных на государственную регистрацию воспроизведенного лекарственного средства и регистрацию предельной отпус</w:t>
      </w:r>
      <w:r>
        <w:t>кной цены на него.</w:t>
      </w:r>
    </w:p>
    <w:p w:rsidR="00916C06" w:rsidRDefault="00075312">
      <w:pPr>
        <w:pStyle w:val="1"/>
        <w:shd w:val="clear" w:color="auto" w:fill="auto"/>
        <w:ind w:firstLine="720"/>
      </w:pPr>
      <w:r>
        <w:lastRenderedPageBreak/>
        <w:t xml:space="preserve">В отечественной правоприменительной практике нередко возникают споры, в рамках которых патентообладатели, обращаясь в суд с исками о защите исключительных прав на изобретения, воплощенные в оригинальных и (или) </w:t>
      </w:r>
      <w:proofErr w:type="spellStart"/>
      <w:r>
        <w:t>референтных</w:t>
      </w:r>
      <w:proofErr w:type="spellEnd"/>
      <w:r>
        <w:t xml:space="preserve"> лекарственных </w:t>
      </w:r>
      <w:r>
        <w:t>средствах, заявляют требование о приостановлении или отмене государственной регистрации воспроизведенного лекарственного средства и регистрации предельной отпускной цены на него.</w:t>
      </w:r>
    </w:p>
    <w:p w:rsidR="00916C06" w:rsidRDefault="00075312">
      <w:pPr>
        <w:pStyle w:val="1"/>
        <w:shd w:val="clear" w:color="auto" w:fill="auto"/>
        <w:ind w:firstLine="720"/>
      </w:pPr>
      <w:proofErr w:type="gramStart"/>
      <w:r>
        <w:t>Квалификация действий, направленных на государственную регистрацию воспроизве</w:t>
      </w:r>
      <w:r>
        <w:t>денного лекарственного средства и регистрацию предельной отпускной цены на него, в качестве нарушения исключительного права на охраняемое действующим патентом изобретение или в качестве угрозы такого нарушения влечет отсрочку вывода воспроизведенного лекар</w:t>
      </w:r>
      <w:r>
        <w:t>ственного средства на рынок не только до момента истечения срока действия патента, но и в течение значительного промежутка времени после этого момента, что приводит</w:t>
      </w:r>
      <w:proofErr w:type="gramEnd"/>
      <w:r>
        <w:t xml:space="preserve"> к фактическому продлению рыночной монополии патентообладателя. Это существенным образом ска</w:t>
      </w:r>
      <w:r>
        <w:t>зывается на интересах отечественных производителей воспроизведенных лекарственных средств и потребителей таких лекарственных средств.</w:t>
      </w:r>
    </w:p>
    <w:p w:rsidR="00916C06" w:rsidRDefault="00075312">
      <w:pPr>
        <w:pStyle w:val="1"/>
        <w:shd w:val="clear" w:color="auto" w:fill="auto"/>
        <w:ind w:firstLine="720"/>
      </w:pPr>
      <w:r>
        <w:t xml:space="preserve">В зарубежной практике существует ограничение исключительного права патентообладателя, известное как положение </w:t>
      </w:r>
      <w:proofErr w:type="spellStart"/>
      <w:r>
        <w:t>Болар</w:t>
      </w:r>
      <w:proofErr w:type="spellEnd"/>
      <w:r>
        <w:t>, котор</w:t>
      </w:r>
      <w:r>
        <w:t xml:space="preserve">ое заключается в предоставлении возможности использования охраняемого патентом изобретения в целях подготовки к выводу </w:t>
      </w:r>
      <w:proofErr w:type="spellStart"/>
      <w:r>
        <w:t>дженерика</w:t>
      </w:r>
      <w:proofErr w:type="spellEnd"/>
      <w:r>
        <w:t xml:space="preserve"> на рынок после истечения срока действия патента. Такие положения закреплены в патентном законодательстве США, Великобритании, Г</w:t>
      </w:r>
      <w:r>
        <w:t xml:space="preserve">ермании и прочих европейских государств, а также в законодательстве государств - партнеров Российской Федерации по БРИКС, достигших значительных успехов в производстве и коммерциализации </w:t>
      </w:r>
      <w:proofErr w:type="spellStart"/>
      <w:r>
        <w:t>дженериков</w:t>
      </w:r>
      <w:proofErr w:type="spellEnd"/>
      <w:r>
        <w:t>: Китая, Бразилии и Индии.</w:t>
      </w:r>
    </w:p>
    <w:p w:rsidR="00916C06" w:rsidRDefault="00075312">
      <w:pPr>
        <w:pStyle w:val="1"/>
        <w:shd w:val="clear" w:color="auto" w:fill="auto"/>
        <w:spacing w:line="418" w:lineRule="auto"/>
        <w:ind w:firstLine="720"/>
      </w:pPr>
      <w:bookmarkStart w:id="1" w:name="bookmark3"/>
      <w:r>
        <w:t>Так, в Патентном законе Китая</w:t>
      </w:r>
      <w:hyperlink w:anchor="bookmark3" w:tooltip="Current Document">
        <w:r>
          <w:rPr>
            <w:vertAlign w:val="superscript"/>
          </w:rPr>
          <w:footnoteReference w:id="1"/>
        </w:r>
        <w:r>
          <w:t xml:space="preserve"> </w:t>
        </w:r>
      </w:hyperlink>
      <w:r>
        <w:t>содержится положение, согласно которому не рассматриваются в качестве нарушения патентных прав действия, имеющие своей целью предоставление информации, необходимой для административной проверки и</w:t>
      </w:r>
      <w:bookmarkEnd w:id="1"/>
      <w:r>
        <w:t xml:space="preserve"> </w:t>
      </w:r>
      <w:r>
        <w:lastRenderedPageBreak/>
        <w:t>получен</w:t>
      </w:r>
      <w:r>
        <w:t>ия разрешения, которые включают в себя производство, использование или импорт запатентованных лекарственных средства или запатентованных медицинских приборов и инструментов (ст. 75).</w:t>
      </w:r>
    </w:p>
    <w:p w:rsidR="00916C06" w:rsidRDefault="00075312">
      <w:pPr>
        <w:pStyle w:val="1"/>
        <w:shd w:val="clear" w:color="auto" w:fill="auto"/>
        <w:ind w:firstLine="720"/>
      </w:pPr>
      <w:proofErr w:type="gramStart"/>
      <w:r>
        <w:t>В соответствии с Патентным законом Индии</w:t>
      </w:r>
      <w:hyperlink w:anchor="bookmark0" w:tooltip="Current Document">
        <w:r>
          <w:rPr>
            <w:vertAlign w:val="superscript"/>
          </w:rPr>
          <w:footnoteReference w:id="2"/>
        </w:r>
        <w:r>
          <w:t xml:space="preserve"> </w:t>
        </w:r>
      </w:hyperlink>
      <w:r>
        <w:t>не является нарушением исключительного права любой акт изготовления, конструирования, использования, продажи или импорта запатентованного изобретения исключительно для целей, разумно связанных с разработкой и предоставлением информац</w:t>
      </w:r>
      <w:r>
        <w:t>ии, требуемой в соответствии с любым действующим законом Индии или иного государства, которым регулируется производство, конструирование, использование, продаже или импорт любого продукта (ст. 107).</w:t>
      </w:r>
      <w:proofErr w:type="gramEnd"/>
    </w:p>
    <w:p w:rsidR="00916C06" w:rsidRDefault="00075312">
      <w:pPr>
        <w:pStyle w:val="1"/>
        <w:shd w:val="clear" w:color="auto" w:fill="auto"/>
        <w:ind w:firstLine="720"/>
      </w:pPr>
      <w:proofErr w:type="gramStart"/>
      <w:r>
        <w:t>Согласно Закону о промышленной собственности Бразилии</w:t>
      </w:r>
      <w:hyperlink w:anchor="bookmark1" w:tooltip="Current Document">
        <w:r>
          <w:rPr>
            <w:vertAlign w:val="superscript"/>
          </w:rPr>
          <w:footnoteReference w:id="3"/>
        </w:r>
        <w:r>
          <w:t xml:space="preserve"> </w:t>
        </w:r>
      </w:hyperlink>
      <w:r>
        <w:t>исключительное право патентообладателя не распространяется на действия, совершаемые неуполномоченными третьими лицами в отношении запатентованного изобретения и направленные на получение информации, данны</w:t>
      </w:r>
      <w:r>
        <w:t>х и результатов испытаний в целях регистрации для использования и коммерциализации в Бразилии или другой стране запатентованного продукта после истечения срока действия патента (ст. 43).</w:t>
      </w:r>
      <w:proofErr w:type="gramEnd"/>
    </w:p>
    <w:p w:rsidR="00916C06" w:rsidRDefault="00075312">
      <w:pPr>
        <w:pStyle w:val="1"/>
        <w:shd w:val="clear" w:color="auto" w:fill="auto"/>
        <w:spacing w:line="180" w:lineRule="auto"/>
        <w:ind w:left="1700" w:firstLine="0"/>
        <w:jc w:val="left"/>
      </w:pPr>
      <w:r>
        <w:t>I</w:t>
      </w:r>
    </w:p>
    <w:p w:rsidR="00916C06" w:rsidRDefault="00075312">
      <w:pPr>
        <w:pStyle w:val="1"/>
        <w:shd w:val="clear" w:color="auto" w:fill="auto"/>
        <w:ind w:firstLine="720"/>
      </w:pPr>
      <w:proofErr w:type="gramStart"/>
      <w:r>
        <w:t>В действующей редакции п. 2 ст. 1359 Гражданского кодекса Российско</w:t>
      </w:r>
      <w:r>
        <w:t>й Федерации закреплено, что не является нарушением исключительного права проведение научного исследования продукта или способа, в которых использованы изобретение или полезная модель, либо научного исследования изделия, в котором использован промышленный о</w:t>
      </w:r>
      <w:r>
        <w:t>бразец, либо проведение эксперимента над такими продуктом, способом или изделием.</w:t>
      </w:r>
      <w:proofErr w:type="gramEnd"/>
    </w:p>
    <w:p w:rsidR="00916C06" w:rsidRDefault="00075312">
      <w:pPr>
        <w:pStyle w:val="1"/>
        <w:shd w:val="clear" w:color="auto" w:fill="auto"/>
        <w:ind w:firstLine="720"/>
      </w:pPr>
      <w:r>
        <w:t>В данном положении отсутствует оговорка о том, что научное исследование и эксперимент могут преследовать цели получения разрешения на применение</w:t>
      </w:r>
    </w:p>
    <w:p w:rsidR="00916C06" w:rsidRDefault="00075312">
      <w:pPr>
        <w:pStyle w:val="1"/>
        <w:shd w:val="clear" w:color="auto" w:fill="auto"/>
        <w:ind w:firstLine="0"/>
      </w:pPr>
      <w:r>
        <w:t xml:space="preserve">лекарственного средства и </w:t>
      </w:r>
      <w:r>
        <w:t xml:space="preserve">осуществляться в рамках соответствующих административных процедур, что порождает сложности в правоприменительной </w:t>
      </w:r>
      <w:r>
        <w:lastRenderedPageBreak/>
        <w:t>практике и соответствующие судебные споры.</w:t>
      </w:r>
    </w:p>
    <w:p w:rsidR="00916C06" w:rsidRDefault="00075312">
      <w:pPr>
        <w:pStyle w:val="1"/>
        <w:shd w:val="clear" w:color="auto" w:fill="auto"/>
        <w:ind w:firstLine="740"/>
      </w:pPr>
      <w:proofErr w:type="gramStart"/>
      <w:r>
        <w:t>На уровне научного сообщества и судебных органов выработана позиция о том, что государственная регис</w:t>
      </w:r>
      <w:r>
        <w:t>трация лекарственного средства, в котором использовано чужое изобретение по действующему патенту, изготовление образцов такого лекарственного средства с целью его регистрации и осуществление регистрации предельной отпускной цены на лекарственный препарат с</w:t>
      </w:r>
      <w:r>
        <w:t>ами по себе не создают угрозы нарушения исключительного права на это изобретение.</w:t>
      </w:r>
      <w:proofErr w:type="gramEnd"/>
      <w:r>
        <w:t xml:space="preserve"> Данная позиция отражена в Рекомендациях Научно-консультативного совета при Суде по интеллектуальным правам от 18 апреля 2024 г. № СП-22/6</w:t>
      </w:r>
      <w:hyperlink w:anchor="bookmark2" w:tooltip="Current Document">
        <w:r>
          <w:rPr>
            <w:vertAlign w:val="superscript"/>
          </w:rPr>
          <w:footnoteReference w:id="4"/>
        </w:r>
        <w:r>
          <w:t>.</w:t>
        </w:r>
      </w:hyperlink>
    </w:p>
    <w:p w:rsidR="00916C06" w:rsidRDefault="00075312">
      <w:pPr>
        <w:pStyle w:val="1"/>
        <w:shd w:val="clear" w:color="auto" w:fill="auto"/>
        <w:ind w:firstLine="740"/>
      </w:pPr>
      <w:r>
        <w:t>Тем не менее, такая правовая позиция не устраняет правовую неопределенность, существующую на уровне закона. Такое положение дел не способствует стабильности гражданского оборота в такой важной сфере как оборот лекарственных средств и не</w:t>
      </w:r>
      <w:r>
        <w:t>гативным образом сказывается на темпах достижения целей Стратегии.</w:t>
      </w:r>
    </w:p>
    <w:p w:rsidR="00916C06" w:rsidRDefault="00075312">
      <w:pPr>
        <w:pStyle w:val="1"/>
        <w:shd w:val="clear" w:color="auto" w:fill="auto"/>
        <w:ind w:firstLine="740"/>
      </w:pPr>
      <w:r>
        <w:t>Законопроект предусматривает уточнение положение перечня действий, которые не являются нарушением исключительного права патентообладателя, путем дополнения п. 2 ст. 1362 ГК РФ оговоркой о в</w:t>
      </w:r>
      <w:r>
        <w:t>озможности проведения научных исследований и экспериментов в целях осуществления предусмотренных законом процедур, необходимых для получения разрешения на применение такого продукта как лекарственное средство. Таким образом, принятие Федерального закона «О</w:t>
      </w:r>
      <w:r>
        <w:t xml:space="preserve"> внесении изменений в статью 1359 части четвертой Гражданского кодекса Российской Федерации» положительным образом повлияет на развитие отечественной фармацевтической отрасли и лекарственном обеспечении населения Российской Федерации.</w:t>
      </w:r>
    </w:p>
    <w:p w:rsidR="00916C06" w:rsidRDefault="00075312">
      <w:pPr>
        <w:pStyle w:val="1"/>
        <w:shd w:val="clear" w:color="auto" w:fill="auto"/>
        <w:ind w:firstLine="740"/>
      </w:pPr>
      <w:r>
        <w:t>Принятие Федерального</w:t>
      </w:r>
      <w:r>
        <w:t xml:space="preserve"> закона «О внесении изменений в статью 1359 части четвертой Гражданского кодекса Российской Федерации» не потребует признания </w:t>
      </w:r>
      <w:proofErr w:type="gramStart"/>
      <w:r>
        <w:t>утратившими</w:t>
      </w:r>
      <w:proofErr w:type="gramEnd"/>
      <w:r>
        <w:t xml:space="preserve"> силу, приостановления, изменения или принятия других федеральных законов, нормативных правовых актов Президента Россий</w:t>
      </w:r>
      <w:r>
        <w:t xml:space="preserve">ской Федерации, </w:t>
      </w:r>
      <w:r>
        <w:lastRenderedPageBreak/>
        <w:t>Правительства Российской Федерации и федеральных органов исполнительной власти.</w:t>
      </w:r>
    </w:p>
    <w:p w:rsidR="00916C06" w:rsidRDefault="00075312">
      <w:pPr>
        <w:pStyle w:val="1"/>
        <w:shd w:val="clear" w:color="auto" w:fill="auto"/>
        <w:ind w:firstLine="720"/>
      </w:pPr>
      <w:r>
        <w:t>В настоящее время отсутствуют внесенные на рассмотрение Государственной Думы Федерального Собрания Российской Федерации законопроекты, связанные с уточнением пе</w:t>
      </w:r>
      <w:r>
        <w:t>речня действий, не являющихся нарушением исключительного права на изобретение.</w:t>
      </w:r>
    </w:p>
    <w:p w:rsidR="00916C06" w:rsidRDefault="00075312">
      <w:pPr>
        <w:pStyle w:val="1"/>
        <w:shd w:val="clear" w:color="auto" w:fill="auto"/>
        <w:ind w:firstLine="720"/>
      </w:pPr>
      <w:r>
        <w:t>Принятие законопроекта не потребует выделения дополнительных бюджетных ассигнований и не окажет влияние на доходы или расходы бюджетов бюджетной системы Российской Федерации.</w:t>
      </w:r>
    </w:p>
    <w:p w:rsidR="00916C06" w:rsidRDefault="00075312">
      <w:pPr>
        <w:pStyle w:val="1"/>
        <w:shd w:val="clear" w:color="auto" w:fill="auto"/>
        <w:ind w:firstLine="720"/>
      </w:pPr>
      <w:r>
        <w:t>По</w:t>
      </w:r>
      <w:r>
        <w:t>ложения законопроекта соответствуют положениям Договора о Евразийском экономическом союзе, а также положениям иных международных договоров Российской Федерации, реализация предлагаемых решений не окажет негативных социально-экономических и иных последствий</w:t>
      </w:r>
      <w:r>
        <w:t>, в том числе для субъектов предпринимательской и иной экономической деятельности. Предлагаемые решения окажут положительное влияние на достижение целей государственных программ Российской Федерации.</w:t>
      </w:r>
    </w:p>
    <w:sectPr w:rsidR="00916C06">
      <w:pgSz w:w="11900" w:h="16840"/>
      <w:pgMar w:top="1373" w:right="490" w:bottom="1106" w:left="10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312" w:rsidRDefault="00075312">
      <w:r>
        <w:separator/>
      </w:r>
    </w:p>
  </w:endnote>
  <w:endnote w:type="continuationSeparator" w:id="0">
    <w:p w:rsidR="00075312" w:rsidRDefault="00075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312" w:rsidRDefault="00075312">
      <w:r>
        <w:separator/>
      </w:r>
    </w:p>
  </w:footnote>
  <w:footnote w:type="continuationSeparator" w:id="0">
    <w:p w:rsidR="00075312" w:rsidRDefault="00075312">
      <w:r>
        <w:continuationSeparator/>
      </w:r>
    </w:p>
  </w:footnote>
  <w:footnote w:id="1">
    <w:p w:rsidR="00916C06" w:rsidRDefault="00075312">
      <w:pPr>
        <w:pStyle w:val="a4"/>
        <w:shd w:val="clear" w:color="auto" w:fill="auto"/>
        <w:spacing w:line="418" w:lineRule="auto"/>
        <w:jc w:val="left"/>
      </w:pPr>
      <w:r>
        <w:rPr>
          <w:vertAlign w:val="superscript"/>
          <w:lang w:val="ru-RU" w:eastAsia="ru-RU" w:bidi="ru-RU"/>
        </w:rPr>
        <w:footnoteRef/>
      </w:r>
      <w:r w:rsidRPr="005D1FC6">
        <w:rPr>
          <w:lang w:eastAsia="ru-RU" w:bidi="ru-RU"/>
        </w:rPr>
        <w:t xml:space="preserve"> </w:t>
      </w:r>
      <w:proofErr w:type="gramStart"/>
      <w:r>
        <w:t>Patent Law of the People’s Republic of China.</w:t>
      </w:r>
      <w:proofErr w:type="gramEnd"/>
      <w:r>
        <w:t xml:space="preserve"> URL: </w:t>
      </w:r>
      <w:hyperlink r:id="rId1" w:history="1">
        <w:r>
          <w:rPr>
            <w:u w:val="single"/>
          </w:rPr>
          <w:t>https://www.wipo.int/wipolex/en/legislation/details/21027</w:t>
        </w:r>
      </w:hyperlink>
    </w:p>
  </w:footnote>
  <w:footnote w:id="2">
    <w:p w:rsidR="00916C06" w:rsidRDefault="00075312">
      <w:pPr>
        <w:pStyle w:val="a4"/>
        <w:shd w:val="clear" w:color="auto" w:fill="auto"/>
        <w:tabs>
          <w:tab w:val="left" w:pos="115"/>
        </w:tabs>
      </w:pPr>
      <w:bookmarkStart w:id="2" w:name="bookmark0"/>
      <w:r>
        <w:rPr>
          <w:vertAlign w:val="superscript"/>
          <w:lang w:val="ru-RU" w:eastAsia="ru-RU" w:bidi="ru-RU"/>
        </w:rPr>
        <w:footnoteRef/>
      </w:r>
      <w:r w:rsidRPr="005D1FC6">
        <w:rPr>
          <w:lang w:eastAsia="ru-RU" w:bidi="ru-RU"/>
        </w:rPr>
        <w:tab/>
      </w:r>
      <w:proofErr w:type="gramStart"/>
      <w:r>
        <w:t>The Patents Act.</w:t>
      </w:r>
      <w:proofErr w:type="gramEnd"/>
      <w:r>
        <w:t xml:space="preserve"> URL: </w:t>
      </w:r>
      <w:hyperlink r:id="rId2" w:history="1">
        <w:r>
          <w:rPr>
            <w:u w:val="single"/>
          </w:rPr>
          <w:t>https://www.wipo.int/wipolex/en/legislation/details/22960</w:t>
        </w:r>
        <w:bookmarkEnd w:id="2"/>
      </w:hyperlink>
    </w:p>
  </w:footnote>
  <w:footnote w:id="3">
    <w:p w:rsidR="00916C06" w:rsidRDefault="00075312">
      <w:pPr>
        <w:pStyle w:val="a4"/>
        <w:shd w:val="clear" w:color="auto" w:fill="auto"/>
        <w:tabs>
          <w:tab w:val="left" w:pos="498"/>
          <w:tab w:val="left" w:pos="5028"/>
        </w:tabs>
        <w:spacing w:line="233" w:lineRule="auto"/>
      </w:pPr>
      <w:bookmarkStart w:id="3" w:name="bookmark1"/>
      <w:r>
        <w:rPr>
          <w:vertAlign w:val="superscript"/>
        </w:rPr>
        <w:footnoteRef/>
      </w:r>
      <w:r>
        <w:tab/>
        <w:t>Law No. 9.279 of May 14,</w:t>
      </w:r>
      <w:r>
        <w:tab/>
        <w:t>1996 (Law on Industrial Property). URL:</w:t>
      </w:r>
      <w:bookmarkEnd w:id="3"/>
    </w:p>
    <w:p w:rsidR="00916C06" w:rsidRDefault="00075312">
      <w:pPr>
        <w:pStyle w:val="a4"/>
        <w:shd w:val="clear" w:color="auto" w:fill="auto"/>
      </w:pPr>
      <w:hyperlink r:id="rId3" w:history="1">
        <w:r>
          <w:rPr>
            <w:u w:val="single"/>
          </w:rPr>
          <w:t>https://www.wipo.int/wipolex/en/legislation/details/21166</w:t>
        </w:r>
      </w:hyperlink>
    </w:p>
  </w:footnote>
  <w:footnote w:id="4">
    <w:p w:rsidR="00916C06" w:rsidRDefault="00075312">
      <w:pPr>
        <w:pStyle w:val="a4"/>
        <w:shd w:val="clear" w:color="auto" w:fill="auto"/>
        <w:tabs>
          <w:tab w:val="left" w:pos="129"/>
          <w:tab w:val="left" w:pos="1072"/>
          <w:tab w:val="left" w:pos="3598"/>
          <w:tab w:val="left" w:pos="5081"/>
          <w:tab w:val="left" w:pos="6162"/>
          <w:tab w:val="left" w:pos="7918"/>
          <w:tab w:val="left" w:pos="9779"/>
        </w:tabs>
      </w:pPr>
      <w:bookmarkStart w:id="4" w:name="bookmark2"/>
      <w:r>
        <w:rPr>
          <w:vertAlign w:val="superscript"/>
          <w:lang w:val="ru-RU" w:eastAsia="ru-RU" w:bidi="ru-RU"/>
        </w:rPr>
        <w:footnoteRef/>
      </w:r>
      <w:r>
        <w:rPr>
          <w:lang w:val="ru-RU" w:eastAsia="ru-RU" w:bidi="ru-RU"/>
        </w:rPr>
        <w:tab/>
        <w:t xml:space="preserve">Рекомендации Научно-консультативного совета при Суде по интеллектуальным правам по вопросам, возникающим при рассмотрении требований о </w:t>
      </w:r>
      <w:r>
        <w:rPr>
          <w:lang w:val="ru-RU" w:eastAsia="ru-RU" w:bidi="ru-RU"/>
        </w:rPr>
        <w:t>пресечении нарушений исключительных прав, утв. постановлением президиума Суда по</w:t>
      </w:r>
      <w:r>
        <w:rPr>
          <w:lang w:val="ru-RU" w:eastAsia="ru-RU" w:bidi="ru-RU"/>
        </w:rPr>
        <w:tab/>
        <w:t>интеллектуальным</w:t>
      </w:r>
      <w:r>
        <w:rPr>
          <w:lang w:val="ru-RU" w:eastAsia="ru-RU" w:bidi="ru-RU"/>
        </w:rPr>
        <w:tab/>
        <w:t>правам</w:t>
      </w:r>
      <w:r>
        <w:rPr>
          <w:lang w:val="ru-RU" w:eastAsia="ru-RU" w:bidi="ru-RU"/>
        </w:rPr>
        <w:tab/>
        <w:t>от</w:t>
      </w:r>
      <w:r>
        <w:rPr>
          <w:lang w:val="ru-RU" w:eastAsia="ru-RU" w:bidi="ru-RU"/>
        </w:rPr>
        <w:tab/>
        <w:t>18.04.2024</w:t>
      </w:r>
      <w:r>
        <w:rPr>
          <w:lang w:val="ru-RU" w:eastAsia="ru-RU" w:bidi="ru-RU"/>
        </w:rPr>
        <w:tab/>
        <w:t>№ СП-22/6.</w:t>
      </w:r>
      <w:r>
        <w:rPr>
          <w:lang w:val="ru-RU" w:eastAsia="ru-RU" w:bidi="ru-RU"/>
        </w:rPr>
        <w:tab/>
      </w:r>
      <w:r>
        <w:t>URL:</w:t>
      </w:r>
      <w:bookmarkEnd w:id="4"/>
    </w:p>
    <w:p w:rsidR="00916C06" w:rsidRDefault="00075312">
      <w:pPr>
        <w:pStyle w:val="a4"/>
        <w:shd w:val="clear" w:color="auto" w:fill="auto"/>
      </w:pPr>
      <w:hyperlink r:id="rId4" w:history="1">
        <w:r>
          <w:rPr>
            <w:u w:val="single"/>
          </w:rPr>
          <w:t>https://ipc.</w:t>
        </w:r>
        <w:r>
          <w:rPr>
            <w:u w:val="single"/>
          </w:rPr>
          <w:t xml:space="preserve">arbitr.ru/storage/sites/ipc/files/288/recommendations_nks </w:t>
        </w:r>
        <w:proofErr w:type="spellStart"/>
        <w:r>
          <w:rPr>
            <w:u w:val="single"/>
          </w:rPr>
          <w:t>presetchenie</w:t>
        </w:r>
        <w:proofErr w:type="spellEnd"/>
        <w:r>
          <w:rPr>
            <w:u w:val="single"/>
          </w:rPr>
          <w:t xml:space="preserve"> narucheniy.pdf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16C06"/>
    <w:rsid w:val="00075312"/>
    <w:rsid w:val="005D1FC6"/>
    <w:rsid w:val="0091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jc w:val="both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jc w:val="both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wipo.int/wipolex/en/legislation/details/21166" TargetMode="External"/><Relationship Id="rId2" Type="http://schemas.openxmlformats.org/officeDocument/2006/relationships/hyperlink" Target="https://www.wipo.int/wipolex/en/legislation/details/22960" TargetMode="External"/><Relationship Id="rId1" Type="http://schemas.openxmlformats.org/officeDocument/2006/relationships/hyperlink" Target="https://www.wipo.int/wiDolex/en/legislation/details/21027" TargetMode="External"/><Relationship Id="rId4" Type="http://schemas.openxmlformats.org/officeDocument/2006/relationships/hyperlink" Target="https://ipc.arbitr.ru/storage/sites/iDc/files/288/recommendations_nks_presetchenie_narucheniy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2026-06-25T17:12:00Z</dcterms:created>
  <dcterms:modified xsi:type="dcterms:W3CDTF">2026-06-25T17:12:00Z</dcterms:modified>
</cp:coreProperties>
</file>