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ПЕРЕЧЕНЬ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920" w:line="252" w:lineRule="auto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федеральных законов, нормативных правовых актов Президента</w:t>
        <w:br/>
        <w:t>Российской Федерации, Правительства Российской Федерации и</w:t>
        <w:br/>
        <w:t>федеральных органов исполнительной власти, подлежащих признанию</w:t>
        <w:br/>
        <w:t>утратившими силу, приостановлению, изменению или принятию в связи с</w:t>
        <w:br/>
        <w:t>принятием Федерального закона «О внесении изменений в статью 1359</w:t>
        <w:br/>
        <w:t>части четвертой Гражданского кодекса Российской Федерации»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420" w:line="382" w:lineRule="auto"/>
        <w:ind w:left="0" w:right="0" w:firstLine="720"/>
        <w:jc w:val="both"/>
      </w:pP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Принятие Федерального закона «О внесении изменений в статью 1359 части четвертой Гражданского кодекса Российской Федерации» не потребует признания утратившими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>
      <w:footnotePr>
        <w:pos w:val="pageBottom"/>
        <w:numFmt w:val="decimal"/>
        <w:numRestart w:val="continuous"/>
      </w:footnotePr>
      <w:pgSz w:w="11900" w:h="16840"/>
      <w:pgMar w:top="1810" w:left="1637" w:right="715" w:bottom="29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after="600" w:line="317" w:lineRule="auto"/>
      <w:ind w:firstLine="36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