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6B5" w:rsidRDefault="008E46B5" w:rsidP="008E46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8E46B5" w:rsidRDefault="008E46B5" w:rsidP="008E46B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</w:rPr>
        <w:t>«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статьи 167 и 174 Жилищного кодекса Российской Федерации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t>»</w:t>
      </w:r>
    </w:p>
    <w:p w:rsidR="008E46B5" w:rsidRDefault="008E46B5" w:rsidP="008E46B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46B5" w:rsidRDefault="008E46B5" w:rsidP="008E46B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 w:cs="Times New Roman"/>
          <w:color w:val="000000" w:themeColor="text1"/>
          <w:sz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статьи 167 и 174 Жилищного кодекса Российской Федерации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не 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60770A" w:rsidRDefault="0060770A">
      <w:bookmarkStart w:id="1" w:name="_GoBack"/>
      <w:bookmarkEnd w:id="1"/>
    </w:p>
    <w:sectPr w:rsidR="00607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50"/>
    <w:rsid w:val="0060770A"/>
    <w:rsid w:val="008E46B5"/>
    <w:rsid w:val="00F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B5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B5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7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2026-05-15T10:48:00Z</dcterms:created>
  <dcterms:modified xsi:type="dcterms:W3CDTF">2026-05-15T10:48:00Z</dcterms:modified>
</cp:coreProperties>
</file>