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4A75E5" w:rsidRDefault="00041F37" w:rsidP="00E04005">
      <w:pPr>
        <w:spacing w:line="120" w:lineRule="exact"/>
        <w:ind w:firstLine="709"/>
        <w:jc w:val="right"/>
        <w:rPr>
          <w:sz w:val="30"/>
          <w:szCs w:val="30"/>
          <w:u w:val="single"/>
        </w:rPr>
      </w:pPr>
    </w:p>
    <w:p w:rsidR="008C65D8" w:rsidRDefault="008C65D8" w:rsidP="00E04005">
      <w:pPr>
        <w:pStyle w:val="a9"/>
        <w:spacing w:before="0" w:line="240" w:lineRule="atLeast"/>
        <w:rPr>
          <w:b/>
        </w:rPr>
      </w:pPr>
    </w:p>
    <w:p w:rsidR="008C65D8" w:rsidRDefault="008C65D8" w:rsidP="00E04005">
      <w:pPr>
        <w:pStyle w:val="a9"/>
        <w:spacing w:before="0" w:line="240" w:lineRule="atLeast"/>
        <w:rPr>
          <w:b/>
        </w:rPr>
      </w:pPr>
    </w:p>
    <w:p w:rsidR="00AB4C1F" w:rsidRDefault="00622B7F" w:rsidP="00E04005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E04005" w:rsidRPr="00112200" w:rsidRDefault="00E04005" w:rsidP="00E04005">
      <w:pPr>
        <w:pStyle w:val="a9"/>
        <w:spacing w:before="0" w:line="120" w:lineRule="exact"/>
        <w:rPr>
          <w:b/>
        </w:rPr>
      </w:pPr>
    </w:p>
    <w:p w:rsidR="00AB4C1F" w:rsidRPr="00112200" w:rsidRDefault="00622B7F" w:rsidP="00E04005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E0400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в статьи 3 и 24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Закона Российской Федерации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 недрах</w:t>
      </w:r>
      <w:r>
        <w:rPr>
          <w:rFonts w:ascii="Times New Roman" w:hAnsi="Times New Roman"/>
        </w:rPr>
        <w:t>"</w:t>
      </w:r>
    </w:p>
    <w:p w:rsidR="00E04005" w:rsidRDefault="00E04005" w:rsidP="00E04005">
      <w:pPr>
        <w:spacing w:line="240" w:lineRule="atLeast"/>
      </w:pPr>
    </w:p>
    <w:p w:rsidR="00E04005" w:rsidRDefault="00E04005" w:rsidP="00E04005">
      <w:pPr>
        <w:spacing w:line="240" w:lineRule="atLeast"/>
      </w:pPr>
    </w:p>
    <w:p w:rsidR="00110CCD" w:rsidRDefault="00622B7F" w:rsidP="00110CCD">
      <w:pPr>
        <w:ind w:firstLine="709"/>
      </w:pPr>
      <w:r>
        <w:t xml:space="preserve">Проект федерального закона "О внесении изменений в статьи 3 и 24 Закона Российской Федерации "О недрах" </w:t>
      </w:r>
      <w:r w:rsidR="00BB3896">
        <w:t xml:space="preserve">(далее - законопроект) </w:t>
      </w:r>
      <w:r>
        <w:t xml:space="preserve">разработан </w:t>
      </w:r>
      <w:r w:rsidR="00EC002B">
        <w:br/>
      </w:r>
      <w:r>
        <w:t xml:space="preserve">с целью установления </w:t>
      </w:r>
      <w:r w:rsidR="00A96BA0">
        <w:t xml:space="preserve">возможности утверждения </w:t>
      </w:r>
      <w:r>
        <w:t>правил проведения геологических наблюдений при разработке месторождений тв</w:t>
      </w:r>
      <w:r w:rsidR="00A96BA0">
        <w:t>е</w:t>
      </w:r>
      <w:r>
        <w:t>рдых полезных ископаемых.</w:t>
      </w:r>
    </w:p>
    <w:p w:rsidR="00110CCD" w:rsidRDefault="00622B7F" w:rsidP="00110CCD">
      <w:pPr>
        <w:ind w:firstLine="709"/>
      </w:pPr>
      <w:r>
        <w:t>В соответствии с проектируемыми изменениями в статьи 3 и 24 Закона Российской Федерации от 21 февраля 1992 г. № 2395-</w:t>
      </w:r>
      <w:r w:rsidR="00273D3F">
        <w:rPr>
          <w:lang w:val="en-US"/>
        </w:rPr>
        <w:t>I</w:t>
      </w:r>
      <w:bookmarkStart w:id="0" w:name="_GoBack"/>
      <w:bookmarkEnd w:id="0"/>
      <w:r>
        <w:t xml:space="preserve"> "О недрах" (далее - Закон "О недрах") орган федерального государственного горного надзора наделяется полномочиями по утверждению правил проведения геологических наблюдений при разработке месторождений твердых полезных ископаемых.</w:t>
      </w:r>
    </w:p>
    <w:p w:rsidR="00110CCD" w:rsidRDefault="00622B7F" w:rsidP="00110CCD">
      <w:pPr>
        <w:ind w:firstLine="709"/>
      </w:pPr>
      <w:r>
        <w:t xml:space="preserve">В соответствии с пунктом 5 части 5 статьи 24 Закона "О недрах" одним </w:t>
      </w:r>
      <w:r>
        <w:br/>
        <w:t>из основных требований по обеспечению безопасного ведения работ, связанных с пользованием недр, является проведение пользователем недр комплекса геологических, маркшейдерских и иных наблюдений, достаточных для обеспечения нормального технологического цикла работ и прогнозирования опасных ситуаций, своевременное определение и нанесение на планы горных работ опасных зон. В соответствии с пунктами 3 и 11 части 2 статьи 22 Закона "О недрах" пользователь недр обязан обеспечить ведение геологической, маркшейдерской и иной документации в процессе всех видов пользования недрами и ее сохранность.</w:t>
      </w:r>
    </w:p>
    <w:p w:rsidR="00110CCD" w:rsidRDefault="00622B7F" w:rsidP="00110CCD">
      <w:pPr>
        <w:ind w:firstLine="709"/>
      </w:pPr>
      <w:r>
        <w:t xml:space="preserve">Состав мероприятий по государственному мониторингу, предусмотренному </w:t>
      </w:r>
      <w:r w:rsidRPr="00EC002B">
        <w:t>статьей 36.2 Закона "О недрах", осуществляемому согласно постановлению Правительства Российской Федерации от 29 </w:t>
      </w:r>
      <w:r w:rsidR="00EC002B" w:rsidRPr="00EC002B">
        <w:t xml:space="preserve">ноября </w:t>
      </w:r>
      <w:r w:rsidRPr="00EC002B">
        <w:t xml:space="preserve">2023 г. </w:t>
      </w:r>
      <w:r w:rsidRPr="00EC002B">
        <w:br/>
        <w:t>№ 2029, определяется проектной документацией, регламентирующей геологическое изучение недр, поиск</w:t>
      </w:r>
      <w:r>
        <w:t xml:space="preserve">, оценку и разведку месторождений полезных ископаемых. Типы такой проектной документации, установленные приказом Минприроды России от 14 июня 2016 г. № 352, также соотносятся </w:t>
      </w:r>
      <w:r>
        <w:br/>
        <w:t xml:space="preserve">с геологическим изучением недр, поиском, разведкой и оценкой месторождений полезных ископаемых. При этом данные о результатах локального мониторинга состояния недр (отчет) в соответствии с приказом Минприроды России </w:t>
      </w:r>
      <w:r>
        <w:br/>
        <w:t xml:space="preserve">и Роснедр от 23 августа 2022 г. № 547/04 представляются пользователем недр один раз в год. Таким образом, мониторинг геологической среды проводится </w:t>
      </w:r>
      <w:r>
        <w:br/>
        <w:t xml:space="preserve">с целью обобщения ее состояния, а не с целью обеспечения безопасности </w:t>
      </w:r>
      <w:r>
        <w:br/>
        <w:t>при эксплуатации месторождений полезных ископаемых.</w:t>
      </w:r>
    </w:p>
    <w:p w:rsidR="00475207" w:rsidRDefault="00475207" w:rsidP="00110CCD">
      <w:pPr>
        <w:ind w:firstLine="709"/>
      </w:pPr>
    </w:p>
    <w:p w:rsidR="00110CCD" w:rsidRDefault="00622B7F" w:rsidP="00110CCD">
      <w:pPr>
        <w:ind w:firstLine="709"/>
      </w:pPr>
      <w:r>
        <w:t>Кроме того, геологические данные, полученные на стадии геологоразведочных работ или при инженерных изысканиях, носят выборочный и усредненный характер, а их содержание не является достаточным для прогнозирования опасных ситуаций, своевременного определения и нанесения на планы горных работ опасных зон.</w:t>
      </w:r>
    </w:p>
    <w:p w:rsidR="00110CCD" w:rsidRDefault="00622B7F" w:rsidP="00110CCD">
      <w:pPr>
        <w:ind w:firstLine="709"/>
      </w:pPr>
      <w:r>
        <w:t xml:space="preserve">Проведение геологических наблюдений в процессе проведения работ, связанных с пользованием недрами, позволяет своевременно выявлять </w:t>
      </w:r>
      <w:r>
        <w:br/>
        <w:t xml:space="preserve">и предотвращать возможные аварийные ситуации, такие как обрушение горных пород, оползни, горные удары, внезапные выбросы, взрывы, что снижает риски для жизни и здоровья людей, способствует своевременному выбору наиболее подходящих и эффективных технических решений. Таким образом, принятие </w:t>
      </w:r>
      <w:r>
        <w:br/>
        <w:t xml:space="preserve">и реализация положений законопроекта будут способствовать значительному повышению уровня безопасности при проведении работ, связанных </w:t>
      </w:r>
      <w:r>
        <w:br/>
        <w:t>с недропользованием.</w:t>
      </w:r>
    </w:p>
    <w:p w:rsidR="00110CCD" w:rsidRDefault="00622B7F" w:rsidP="00110CCD">
      <w:pPr>
        <w:ind w:firstLine="709"/>
      </w:pPr>
      <w:r>
        <w:t xml:space="preserve">Законопроект не содержит обязательных требований, которые связаны </w:t>
      </w:r>
      <w:r>
        <w:br/>
        <w:t xml:space="preserve">с осуществлением предпринимательской и иной экономической деятельности, оценка соблюдения которых осуществляется в рамках федерального государственного горного надзора и федерального государственного надзора </w:t>
      </w:r>
      <w:r>
        <w:br/>
        <w:t xml:space="preserve">в области промышленной безопасности. Законопроект не вводит новые виды государственного контроля (надзора) и новые виды разрешительной деятельности, не содержит норм, устанавливающих ответственность </w:t>
      </w:r>
      <w:r>
        <w:br/>
        <w:t>за нарушение обязательных требований или последствия их несоблюдения.</w:t>
      </w:r>
    </w:p>
    <w:p w:rsidR="00110CCD" w:rsidRDefault="00622B7F" w:rsidP="00110CCD">
      <w:pPr>
        <w:ind w:firstLine="709"/>
      </w:pPr>
      <w:r>
        <w:t xml:space="preserve">Законопроект не противоречит положениям Договора о Евразийском экономическом союзе, положениям иных международных договоров Российской Федерации. </w:t>
      </w:r>
      <w:r w:rsidR="00D20A8F">
        <w:t xml:space="preserve">Реализация положений, предусмотренных законопроектом, </w:t>
      </w:r>
      <w:r>
        <w:t>будет способствовать достижению целей и задач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объектах", утвержденной постановлением Правительства Российской Федерации от 15 апреля 2014 г. № 300.</w:t>
      </w:r>
    </w:p>
    <w:p w:rsidR="00110CCD" w:rsidRDefault="00622B7F" w:rsidP="00110CCD">
      <w:pPr>
        <w:ind w:firstLine="709"/>
      </w:pPr>
      <w:r>
        <w:t>Реализация полномочий, предусмотренных законопроектом, будет осуществляться в пределах установленной Правительством Российской Федерации предельной численности работников федеральных органов исполнительной власти, а также бюджетных ассигнований, предусмотренных таким органам в федеральном бюджете на руководство и управление в сфере установленных функций.</w:t>
      </w:r>
    </w:p>
    <w:p w:rsidR="00AB4C1F" w:rsidRPr="009D1F78" w:rsidRDefault="00AB4C1F" w:rsidP="00E04005">
      <w:pPr>
        <w:ind w:firstLine="709"/>
        <w:rPr>
          <w:sz w:val="4"/>
          <w:szCs w:val="4"/>
        </w:rPr>
      </w:pPr>
    </w:p>
    <w:sectPr w:rsidR="00AB4C1F" w:rsidRPr="009D1F78" w:rsidSect="006C72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-568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51D" w:rsidRDefault="004B351D">
      <w:pPr>
        <w:spacing w:line="240" w:lineRule="auto"/>
      </w:pPr>
      <w:r>
        <w:separator/>
      </w:r>
    </w:p>
  </w:endnote>
  <w:endnote w:type="continuationSeparator" w:id="0">
    <w:p w:rsidR="004B351D" w:rsidRDefault="004B35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562" w:rsidRDefault="00AB756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93983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AB7562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0980282-Уч-2025 (6.</w:t>
          </w:r>
          <w:r>
            <w:rPr>
              <w:sz w:val="20"/>
            </w:rPr>
            <w:t>2</w:t>
          </w:r>
          <w:r w:rsidR="00622B7F">
            <w:rPr>
              <w:sz w:val="20"/>
              <w:lang w:val="en-US"/>
            </w:rPr>
            <w:t>)</w:t>
          </w:r>
        </w:p>
      </w:tc>
    </w:tr>
    <w:tr w:rsidR="00893983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622B7F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330EBB45" wp14:editId="57330408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93983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622B7F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 xml:space="preserve">0980282-Уч-2025 </w:t>
          </w:r>
          <w:r w:rsidR="00AB7562">
            <w:rPr>
              <w:sz w:val="20"/>
              <w:lang w:val="en-US"/>
            </w:rPr>
            <w:t>(6.</w:t>
          </w:r>
          <w:r w:rsidR="00AB7562">
            <w:rPr>
              <w:sz w:val="20"/>
            </w:rPr>
            <w:t>2</w:t>
          </w:r>
          <w:r>
            <w:rPr>
              <w:sz w:val="20"/>
              <w:lang w:val="en-US"/>
            </w:rPr>
            <w:t>)</w:t>
          </w:r>
        </w:p>
      </w:tc>
    </w:tr>
    <w:tr w:rsidR="00893983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622B7F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5B2E8910" wp14:editId="234D02B5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51D" w:rsidRDefault="004B351D">
      <w:pPr>
        <w:spacing w:line="240" w:lineRule="auto"/>
      </w:pPr>
      <w:r>
        <w:separator/>
      </w:r>
    </w:p>
  </w:footnote>
  <w:footnote w:type="continuationSeparator" w:id="0">
    <w:p w:rsidR="004B351D" w:rsidRDefault="004B35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562" w:rsidRDefault="00AB75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EE" w:rsidRDefault="006B54EE" w:rsidP="009E2468">
    <w:pPr>
      <w:pStyle w:val="a3"/>
    </w:pPr>
  </w:p>
  <w:p w:rsidR="00475207" w:rsidRPr="009E2468" w:rsidRDefault="00475207" w:rsidP="009E246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562" w:rsidRDefault="00AB75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F5C8D"/>
    <w:rsid w:val="00110CCD"/>
    <w:rsid w:val="00112200"/>
    <w:rsid w:val="00205B0B"/>
    <w:rsid w:val="00271E10"/>
    <w:rsid w:val="00273D3F"/>
    <w:rsid w:val="002C0B5B"/>
    <w:rsid w:val="002E00DC"/>
    <w:rsid w:val="002E7FD0"/>
    <w:rsid w:val="003475C3"/>
    <w:rsid w:val="0035531D"/>
    <w:rsid w:val="003C3B7D"/>
    <w:rsid w:val="003F4514"/>
    <w:rsid w:val="00475207"/>
    <w:rsid w:val="004A75E5"/>
    <w:rsid w:val="004B351D"/>
    <w:rsid w:val="004B3CE4"/>
    <w:rsid w:val="005A2501"/>
    <w:rsid w:val="00622B7F"/>
    <w:rsid w:val="00642694"/>
    <w:rsid w:val="00646649"/>
    <w:rsid w:val="00690DAC"/>
    <w:rsid w:val="006B3CDE"/>
    <w:rsid w:val="006B54EE"/>
    <w:rsid w:val="006C722D"/>
    <w:rsid w:val="006E5AC3"/>
    <w:rsid w:val="007514FA"/>
    <w:rsid w:val="007A26CD"/>
    <w:rsid w:val="007E20A7"/>
    <w:rsid w:val="00802F2D"/>
    <w:rsid w:val="008114AC"/>
    <w:rsid w:val="00893983"/>
    <w:rsid w:val="008A6CF5"/>
    <w:rsid w:val="008B1BB5"/>
    <w:rsid w:val="008C65D8"/>
    <w:rsid w:val="00902883"/>
    <w:rsid w:val="00957D02"/>
    <w:rsid w:val="009D1F78"/>
    <w:rsid w:val="009E2468"/>
    <w:rsid w:val="00A055C6"/>
    <w:rsid w:val="00A63C78"/>
    <w:rsid w:val="00A96BA0"/>
    <w:rsid w:val="00A97EEE"/>
    <w:rsid w:val="00AA7EEC"/>
    <w:rsid w:val="00AB4C1F"/>
    <w:rsid w:val="00AB7562"/>
    <w:rsid w:val="00AF7439"/>
    <w:rsid w:val="00B37DF3"/>
    <w:rsid w:val="00B91376"/>
    <w:rsid w:val="00BB3896"/>
    <w:rsid w:val="00C25007"/>
    <w:rsid w:val="00CA75CD"/>
    <w:rsid w:val="00D205A9"/>
    <w:rsid w:val="00D20A8F"/>
    <w:rsid w:val="00D47DC5"/>
    <w:rsid w:val="00D655A6"/>
    <w:rsid w:val="00DC7A37"/>
    <w:rsid w:val="00DE3D57"/>
    <w:rsid w:val="00E04005"/>
    <w:rsid w:val="00E111AF"/>
    <w:rsid w:val="00E178D9"/>
    <w:rsid w:val="00EC002B"/>
    <w:rsid w:val="00EE6569"/>
    <w:rsid w:val="00EF6338"/>
    <w:rsid w:val="00F9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D20A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0A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D20A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0A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91A9B-6EDF-4FB9-BFC9-44A6AE889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6</cp:revision>
  <cp:lastPrinted>2026-04-14T14:40:00Z</cp:lastPrinted>
  <dcterms:created xsi:type="dcterms:W3CDTF">2026-04-14T14:30:00Z</dcterms:created>
  <dcterms:modified xsi:type="dcterms:W3CDTF">2026-04-14T15:03:00Z</dcterms:modified>
</cp:coreProperties>
</file>