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AC0" w:rsidRDefault="00B219C0" w:rsidP="006E79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E799E" w:rsidRDefault="006E799E" w:rsidP="006E79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AC0" w:rsidRDefault="00B219C0" w:rsidP="006E799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bookmarkStart w:id="0" w:name="_Hlk200448010"/>
      <w:r>
        <w:rPr>
          <w:rFonts w:ascii="Times New Roman" w:hAnsi="Times New Roman" w:cs="Times New Roman"/>
          <w:b/>
          <w:sz w:val="28"/>
          <w:szCs w:val="28"/>
        </w:rPr>
        <w:t>«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6E799E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в Федеральный закон «О безопасности объектов топливно-энергетического комплекса» и отдельные законодательные акты Российской Федерации»</w:t>
      </w:r>
    </w:p>
    <w:p w:rsidR="00153AC0" w:rsidRDefault="00153A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настоящее время в Каспийском море идет активная разведка и добыча нефти и газа прибрежными государствами, в том числе Российской Федерацией – в российском секторе Каспийского моря.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Объекты, предназначенные для добычи, разведки, разработки, перевалки углеводородов, расположенные в российском секторе Каспийского моря (далее также - объекты, расположенные в российском секторе Каспийского моря, морские нефтяные платформы), находятся за пределами Российской Федерации, имеют особый статус, связанный международным статусом Каспийского моря.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Подписанная 12.08.2018 Конвенция о правовом статусе Каспийского моря ратифицирована Российской Федерацией, но не ратифицирована всеми сторонами и, соответственно, не действует (статья 22 Конвенции). В то же время действуют Соглашение между Российской Федерацией, Азербайджанской Республикой и Республикой Казахстан о точке стыка линий разграничения сопредельных участков дна Каспийского моря от 14.05.2003, Соглашение между Российской Федерацией и Азербайджанской Республикой о разграничении сопредельных участков дна Каспийского моря от 23.09.2002 и Соглашение </w:t>
      </w:r>
      <w:r w:rsidR="006E79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Протокол между Российской Федерацией и Республикой Казахстан </w:t>
      </w:r>
      <w:r w:rsidR="006E799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разграничении дна северной части Каспийского моря (вступило в силу 16.05.2003) в целях осуществления суверенных прав, связанных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недропользованием.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указанными соглашениями Российская Федерация имеет суверенные права на недропользование в российском секторе Каспийского моря при сохранении в общем пользовании водной поверхности, включая обеспечение свободы судоходства, согласованных норм рыболовства и защиты окружающей среды.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Одновременно констатируется, что стороны сознают свою ответственность перед нынешним и будущим поколениями за сохранение Каспийского моря и целостности его уникальной экологической системы. Стороны защищают и сохраняют экологическую систему Каспийского моря и все ее компоненты. В этих целях стороны самостоятельно или совместно принимают все возможные меры и сотрудничают для сохранения биологического разнообразия Каспийского моря, предотвращения, сокращения загрязнения из любого источника и обеспечения контроля над состоянием природной среды Каспия. Стороны также обязуются запрещать деятельность, которая может нанести серьезный ущерб природной среде Каспийского моря.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настоящее время одной из самых серьезных угроз экономическим и иным интересам Российской Федерации в Каспийском регионе, существованию сооружений в Каспийском море, а также сохранению экологии моря становятся возможные акты незаконного вмешательства с применением беспилотных аппаратов. Так, попадание беспилотного аппарата в нефтедобывающую платформу может привести к ее полному разрушению, катастрофическому разливу нефти,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трудновосполнимым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утратам в экологии региона, и, как следствие, экономическим потерям Российской Федерации.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этом вопрос обеспечения безопасности и антитеррористической</w:t>
      </w:r>
      <w:r>
        <w:rPr>
          <w:rFonts w:ascii="Times New Roman" w:hAnsi="Times New Roman" w:cs="Times New Roman"/>
          <w:sz w:val="28"/>
          <w:szCs w:val="28"/>
        </w:rPr>
        <w:t xml:space="preserve"> защищенности указанных объектов остается нерешенным.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Обеспечивать охрану и (или) защиту указанных объектов на основе действующего законодательства Российской Федерации на данный момент не представляется возможным. Постоянные атаки беспилотных аппаратов в условиях специальной военной операции ставят этот вопрос особенно остро.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соответствующего федерального закона позволит ликвидировать правовой вакуум и принять меры, необходимые для обеспечения антитеррористической защищенности таких объектов, не затрагивая при этом вопросы судоходства и рыболовства.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Поскольку дно Каспийского моря </w:t>
      </w:r>
      <w:r>
        <w:rPr>
          <w:rFonts w:ascii="Times New Roman" w:hAnsi="Times New Roman" w:cs="Times New Roman"/>
          <w:sz w:val="28"/>
          <w:szCs w:val="28"/>
        </w:rPr>
        <w:t xml:space="preserve">с правовой точки зрения не является континентальным шельфом, так как не соответствует критериям, изложенным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в статье 76 Конвенции ООН по морскому праву 1982 года,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нефтяные платформы, расположенные в российском секторе Каспийского моря, не являются объектами транспортной инфраструктуры в рамках</w:t>
      </w:r>
      <w:r>
        <w:rPr>
          <w:rFonts w:ascii="Times New Roman" w:hAnsi="Times New Roman" w:cs="Times New Roman"/>
          <w:sz w:val="28"/>
          <w:szCs w:val="28"/>
        </w:rPr>
        <w:t xml:space="preserve"> пункта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части 5 статьи 1 Федерального закона от 09.02.2007 № 16-ФЗ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транспортной безопасности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морские нефтяные платформы в силу их функционального предназначения (добыча, разведка, разработка, перевалка углеводородов), могут быть отнесены к объектам топливно-энергетического комплекса (далее – ТЭК) (пункт 9 статьи 2 Федерального закона от 21.07.2011 № 256-ФЗ </w:t>
      </w:r>
      <w:r>
        <w:rPr>
          <w:rFonts w:ascii="Times New Roman" w:hAnsi="Times New Roman" w:cs="Times New Roman"/>
          <w:sz w:val="28"/>
          <w:szCs w:val="28"/>
        </w:rPr>
        <w:br/>
        <w:t xml:space="preserve">«О безопасности объектов топливно-энергетического комплекса»).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федерального закона предлагается рассматривать их в качестве особой категории объектов ТЭК и осуществлять правовое регулирования обеспечениях их антитеррористической защищенности в рамках Федерального закона от 21.07.2011 № 256-ФЗ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безопасности объектов топливно-энергетического комплекса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особенностями и изъятиями, обусловленными их расположением.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частности, предлагаемым проектом федерального закона предусматривается, что такие объекты не будут категорироваться в общем для иных объектов ТЭК порядке, а требования их антитеррористической защищенности будут определяться установленными Правительством Российской Федерации дополнительными требованиями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антитеррористической защищенности объектов,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 Председателем Правительства Российской Федерации или уполномоченным им должностным лицом.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федерального закона предусматривается, что непосредственно самим предлагаемым к принятию федеральным законом вокруг таких объектов устанавливаются зоны безопасности, необходимые для противодействия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беспилотным аппаратам, а также право подразделений, обеспечивающих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их физическую защиту, на противодействие беспилотным аппаратам в пределах указанных зон.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Зона безопасности будет простираться по водной части – не более чем на 500 метров, отмеряемых от каждой точки внешнего края искусственных островов, установок, сооружений. Размер взят по аналогии с зонами безопасности, предусмотренными пунктом 2 статьи 8 Конвенции о правовом статусе Каспийского моря, поскольку в соответствии с Федеральным законом от 15.07.1995 № 101-ФЗ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международных договорах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ратификация Конвенции означает выражение согласия Российской Федерации на обязательность для нее ее требований. Аналогичные размеры применены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воздушной и подводной частям зоны безопасности.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Предусматривается также обязанность субъектов топливно-энергетического комплекса, в интересах которого проводятся работы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созданию, эксплуатации и использованию объектов, расположенных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пределах российского сектора Каспийского моря, уведомлять заинтересованные федеральные органы исполнительной власти о координатах зон безопасности вокруг искусственных островов, установок, сооружений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начала работ по их созданию, изменению или о прекращении действия зоны безопасности. Информацию о наличии зон также предлагается публиковать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Извещениях мореплавателям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Предусматривается также право Министерства обороны Российской Федерации определять меры по обеспечению безопасности таких объектов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порядке, предусмотренном законодательством Российской Федерации,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что должно повысить степень их защищенности. Соответствующие изменения вносятся проектом федерального закона в пункт 2 статьи 6 и часть 1 статьи 8 Федерального закона от 06.03.2006 № 35-ФЗ «О противодействии терроризму».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Законопроектом предлагается расширить действие Закона Российской Федерации от 11.03.1992 № 2487-1 «О частной детективной и охранной деятельности в Российской Федерации», Федерального закона от 30.11.2024 </w:t>
      </w:r>
      <w:r w:rsidR="00A9553E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№ 427-ФЗ «О частной охранной деятельности», Федерального закона </w:t>
      </w:r>
      <w:r w:rsidR="00A9553E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от 13.12.1996 № 150-ФЗ «Об оружии» на расположенные объекты, расположенные в пределах российского сектора Каспийского моря, в отношении которых Российская Федерация осуществляет юрисдикцию.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Аналогичный подход применяется в законодательстве Российской Федерации. Так действие положений следующих федеральных законов распространяется на территории, в отношении которых Российская Федерация осуществляет юрисдикцию: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Налоговый кодекс Российской Федерации (часть 2 (глава 21 ст. 115);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Уголовно-процессуальный кодекс РФ (ч. 2 ст. 2);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Уголовный кодекс РФ (ст. 12);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 Федеральный закон </w:t>
      </w:r>
      <w:r>
        <w:rPr>
          <w:rFonts w:ascii="Times New Roman" w:hAnsi="Times New Roman" w:cs="Times New Roman"/>
          <w:sz w:val="28"/>
          <w:szCs w:val="28"/>
        </w:rPr>
        <w:t xml:space="preserve">от 02.08.2019 № 260-ФЗ «О регулировании отдельных отношений, связанных с искусственными островами, установками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сооружениями, расположенными в пределах российского сектора Каспийского моря, и о внесении изменений в статью 16 Федерального закона «О внутренних морских водах, территориальном море и прилежащей зоне Российской Федерации» (статья 3);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Федеральный закон от 04.05.2011 № 99-ФЗ «О лицензировании отдельных видов деятельности» (пункт 3 статьи 3);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Федеральный закон от 27.07.2010 № 225-ФЗ «Об обязательном страховании гражданской ответственности владельца опасного объекта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 причинение вреда в результате аварии на опасном объекте» (статья 5);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Федеральный закон от 21.07.1997 № 116-ФЗ «О промышленной безопасности опасных производственных объектов» (преамбула);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Закон Российской Федерации от 21.02.1992 № 2395-1 «О недрах» </w:t>
      </w:r>
      <w:r>
        <w:rPr>
          <w:rFonts w:ascii="Times New Roman" w:hAnsi="Times New Roman" w:cs="Times New Roman"/>
          <w:sz w:val="28"/>
          <w:szCs w:val="28"/>
        </w:rPr>
        <w:br/>
        <w:t>(статья 43).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Проектом федерального закона также предлагается внести изменения </w:t>
      </w:r>
      <w:r w:rsidR="00A9553E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Закон Российской Федерации от 01.04.1993 № 4730-1 «О Государственной границе Российской Федерации» и в </w:t>
      </w:r>
      <w:r>
        <w:rPr>
          <w:rFonts w:ascii="Times New Roman" w:hAnsi="Times New Roman" w:cs="Times New Roman"/>
          <w:sz w:val="28"/>
          <w:szCs w:val="28"/>
        </w:rPr>
        <w:t xml:space="preserve">Федеральный закон от 15.08.1996 </w:t>
      </w:r>
      <w:r>
        <w:rPr>
          <w:rFonts w:ascii="Times New Roman" w:hAnsi="Times New Roman" w:cs="Times New Roman"/>
          <w:sz w:val="28"/>
          <w:szCs w:val="28"/>
        </w:rPr>
        <w:br/>
        <w:t xml:space="preserve">№ 114-ФЗ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порядке выезда из Российской Федерации и въезда в Российскую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Федерацию</w:t>
      </w:r>
      <w:r>
        <w:rPr>
          <w:rFonts w:ascii="Times New Roman" w:hAnsi="Times New Roman" w:cs="Times New Roman"/>
          <w:bCs/>
          <w:sz w:val="28"/>
          <w:szCs w:val="28"/>
        </w:rPr>
        <w:t>». В настоящее время право неоднократно пересекать Государственную границу без прохождения пограничного, таможенного и иных видов контроля в порядке, установленном Правительством Российской Федерации, предоставлено российским воздушными и морским судам, осуществляющим доставку людей, грузов и товаров с территории Российской Федерации на искусственные острова, установки и сооружения, расположенные в исключительной экономической зоне или на континентальном шельфе Российской Федерации либо с указанных искусственных островов, установок, сооружений на территорию Российской Федерации.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Предлагается расширить этот перечень объектами, расположенными </w:t>
      </w:r>
      <w:r w:rsidR="00A9553E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российском секторе Каспийского моря, на которые распространяется юрисдикция Российской Федерации, а также не рассматривать как выезд </w:t>
      </w:r>
      <w:r w:rsidR="00A9553E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из Российской Федерации и как въезд в Российскую Федерацию пересечение Государственной границы гражданами Российской Федерации при следовании на указанные объекты с территории Российской Федерации и обратно.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Также вносится изменение в статью 17 Федерального закона от 13.12.1996 № 150-ФЗ «Об оружии» в части исключения обязательности получения разрешения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органа исполнительной власти, уполномоченного </w:t>
      </w:r>
      <w:r w:rsidR="00A955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оборота оружия при ввозе и вывозе частными охранными организациями, указанными в части первой статьи 12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A955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"Об оружии, находящегося на законных основаниях оружия на указанные объекты и обратно. 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частные охранные организации, указанные в части первой статьи 12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"Об оружии", получают во временное пользование или приобретают оружие и патроны для охраны объектов, расположенных в российском секторе Каспийского моря, на территории Российской Федерации с его размещением в комнатах хранения оружия, где ведется его учет и хранение. Транспортировка на нефтедобывающие платформы в Каспийском море осуществляется по правилам, предусмотренным законодательством Российской Федерации для транспортировки на объекты,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расположенные на территории Российской Федерации, без получения разрешения на ввоз на территорию Российской Федерации и вывоз с территории Российской Федерации.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Это позволит оперативно решать возникающие вопросы контроля </w:t>
      </w:r>
      <w:r w:rsidR="00A9553E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и надзора за деятельностью подразделений охраны, а также обеспечивать доставку грузов, необходимых в том числе для обеспечения физической защиты и восстановления разрушенных беспилотными аппаратами конструкций </w:t>
      </w:r>
      <w:r w:rsidR="00A9553E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и систем нефтедобычи.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федерального закона не содержит обязательные требования,</w:t>
      </w:r>
      <w:r>
        <w:rPr>
          <w:rFonts w:ascii="Times New Roman" w:hAnsi="Times New Roman" w:cs="Times New Roman"/>
          <w:sz w:val="28"/>
          <w:szCs w:val="28"/>
        </w:rPr>
        <w:t xml:space="preserve"> оценка соблюдения которых осуществляется в рамках федерального государственного контроля (надзора) за соблюдением законодательства Российской Федерации.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Нормы проекта федерального закона не противоречат положениям Договора в Евразийском экономическом союзе, а также положениям иных международных договоров Российской Федерации.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федерального закона не имеет отношения к сфере реализации государственной программы Российской Федерации, </w:t>
      </w:r>
      <w:r w:rsidR="00A9553E"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а предполагаемые им решения не влияют на достижение целей государственных программ Российской Федерации.</w:t>
      </w:r>
    </w:p>
    <w:p w:rsidR="00153AC0" w:rsidRDefault="00B219C0" w:rsidP="006E79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федерального закона не потребует дополнительных расходов, покрываемых за счет средств федерального бюджета, а также негативно не повлияет на социально-экономическую и финансовую ситуацию при его реализации. </w:t>
      </w:r>
    </w:p>
    <w:p w:rsidR="00153AC0" w:rsidRDefault="00153AC0" w:rsidP="006E799E">
      <w:pPr>
        <w:spacing w:after="0" w:line="360" w:lineRule="auto"/>
        <w:ind w:firstLine="709"/>
        <w:jc w:val="both"/>
      </w:pPr>
    </w:p>
    <w:sectPr w:rsidR="00153AC0" w:rsidSect="006E799E">
      <w:headerReference w:type="default" r:id="rId6"/>
      <w:pgSz w:w="11906" w:h="16838"/>
      <w:pgMar w:top="1134" w:right="851" w:bottom="1134" w:left="1418" w:header="425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CF7" w:rsidRDefault="002D7CF7">
      <w:pPr>
        <w:spacing w:line="240" w:lineRule="auto"/>
      </w:pPr>
      <w:r>
        <w:separator/>
      </w:r>
    </w:p>
  </w:endnote>
  <w:endnote w:type="continuationSeparator" w:id="0">
    <w:p w:rsidR="002D7CF7" w:rsidRDefault="002D7C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CF7" w:rsidRDefault="002D7CF7">
      <w:pPr>
        <w:spacing w:line="240" w:lineRule="auto"/>
      </w:pPr>
      <w:r>
        <w:separator/>
      </w:r>
    </w:p>
  </w:footnote>
  <w:footnote w:type="continuationSeparator" w:id="0">
    <w:p w:rsidR="002D7CF7" w:rsidRDefault="002D7C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AC0" w:rsidRDefault="00B219C0">
    <w:pPr>
      <w:pStyle w:val="ac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9553E">
      <w:rPr>
        <w:rStyle w:val="afb"/>
        <w:noProof/>
      </w:rPr>
      <w:t>7</w:t>
    </w:r>
    <w:r>
      <w:rPr>
        <w:rStyle w:val="afb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AC0"/>
    <w:rsid w:val="00067B28"/>
    <w:rsid w:val="00153AC0"/>
    <w:rsid w:val="002D7CF7"/>
    <w:rsid w:val="006E799E"/>
    <w:rsid w:val="00A9553E"/>
    <w:rsid w:val="00B219C0"/>
    <w:rsid w:val="00E1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F81C7"/>
  <w15:docId w15:val="{679CA152-37FF-4B05-A4AD-DB25628E1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6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ad">
    <w:name w:val="Нижний колонтитул Знак"/>
    <w:basedOn w:val="a0"/>
    <w:link w:val="ae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c">
    <w:name w:val="header"/>
    <w:basedOn w:val="a"/>
    <w:link w:val="ab"/>
    <w:semiHidden/>
    <w:pPr>
      <w:tabs>
        <w:tab w:val="center" w:pos="4153"/>
        <w:tab w:val="right" w:pos="8306"/>
      </w:tabs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d"/>
    <w:semiHidden/>
    <w:pPr>
      <w:tabs>
        <w:tab w:val="center" w:pos="4153"/>
        <w:tab w:val="right" w:pos="8306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b">
    <w:name w:val="page number"/>
    <w:basedOn w:val="a0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1907</Words>
  <Characters>10872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luchinina_aa</dc:creator>
  <cp:lastModifiedBy>НИКИТИНА Юлия Александровна</cp:lastModifiedBy>
  <cp:revision>3</cp:revision>
  <dcterms:created xsi:type="dcterms:W3CDTF">2026-04-10T08:45:00Z</dcterms:created>
  <dcterms:modified xsi:type="dcterms:W3CDTF">2026-04-10T10:31:00Z</dcterms:modified>
</cp:coreProperties>
</file>