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66101" w14:textId="77777777" w:rsidR="00747AAF" w:rsidRPr="00747AAF" w:rsidRDefault="00747AAF" w:rsidP="00650814">
      <w:pPr>
        <w:pStyle w:val="a9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747AAF">
        <w:rPr>
          <w:rFonts w:ascii="Times New Roman" w:hAnsi="Times New Roman"/>
          <w:b/>
          <w:bCs/>
          <w:sz w:val="28"/>
          <w:szCs w:val="28"/>
          <w:lang w:val="ru-RU"/>
        </w:rPr>
        <w:t>ПОЯСНИТЕЛЬНАЯ ЗАПИСКА</w:t>
      </w:r>
    </w:p>
    <w:p w14:paraId="4E144332" w14:textId="71192B79" w:rsidR="00747AAF" w:rsidRPr="00650814" w:rsidRDefault="00747AAF" w:rsidP="00650814">
      <w:pPr>
        <w:spacing w:before="240" w:line="276" w:lineRule="auto"/>
        <w:ind w:right="139"/>
        <w:jc w:val="center"/>
        <w:rPr>
          <w:b/>
          <w:bCs/>
          <w:lang w:val="ru-RU" w:eastAsia="ru-RU"/>
        </w:rPr>
      </w:pPr>
      <w:r w:rsidRPr="00747AAF">
        <w:rPr>
          <w:b/>
          <w:bCs/>
          <w:lang w:val="ru-RU"/>
        </w:rPr>
        <w:t xml:space="preserve">к проекту федерального закона </w:t>
      </w:r>
      <w:r w:rsidRPr="00747AAF">
        <w:rPr>
          <w:rFonts w:eastAsia="MS Mincho"/>
          <w:b/>
          <w:bCs/>
          <w:lang w:val="ru-RU" w:eastAsia="ru-RU"/>
        </w:rPr>
        <w:t>«</w:t>
      </w:r>
      <w:r w:rsidR="00650814" w:rsidRPr="00650814">
        <w:rPr>
          <w:rFonts w:eastAsia="MS Mincho"/>
          <w:b/>
          <w:bCs/>
          <w:lang w:val="ru-RU" w:eastAsia="ru-RU"/>
        </w:rPr>
        <w:t>О внесении изменений в отдельные законодательные акты  Российской Федерации</w:t>
      </w:r>
      <w:r w:rsidRPr="00650814">
        <w:rPr>
          <w:rFonts w:eastAsia="MS Mincho"/>
          <w:b/>
          <w:bCs/>
          <w:lang w:val="ru-RU" w:eastAsia="ru-RU"/>
        </w:rPr>
        <w:t xml:space="preserve">» </w:t>
      </w:r>
    </w:p>
    <w:p w14:paraId="5D026C09" w14:textId="77777777" w:rsidR="003062F4" w:rsidRPr="0096616C" w:rsidRDefault="003062F4">
      <w:pPr>
        <w:rPr>
          <w:lang w:val="ru-RU"/>
        </w:rPr>
      </w:pPr>
    </w:p>
    <w:p w14:paraId="23BDDC2F" w14:textId="77777777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 xml:space="preserve">Проект федерального закона направлен на переход к единой модели организации регулярных перевозок, основанной на регулируемых тарифах и государственном (муниципальном) контракте. В качестве базовой конструкции предлагается отказаться от использования нерегулируемых тарифов и </w:t>
      </w:r>
      <w:proofErr w:type="spellStart"/>
      <w:r w:rsidRPr="0096616C">
        <w:rPr>
          <w:lang w:val="ru-RU"/>
        </w:rPr>
        <w:t>свидетельственной</w:t>
      </w:r>
      <w:proofErr w:type="spellEnd"/>
      <w:r w:rsidRPr="0096616C">
        <w:rPr>
          <w:lang w:val="ru-RU"/>
        </w:rPr>
        <w:t xml:space="preserve"> модели допуска перевозчиков как самостоятельного режима, обеспечить управляемость маршрутной сети и закрепить механизмы, исключающие перерывы в транспортном обслуживании населения.</w:t>
      </w:r>
    </w:p>
    <w:p w14:paraId="45B4C5AD" w14:textId="5B2663F5" w:rsidR="003062F4" w:rsidRPr="0096616C" w:rsidRDefault="0096616C" w:rsidP="00650814">
      <w:pPr>
        <w:spacing w:line="276" w:lineRule="auto"/>
        <w:rPr>
          <w:lang w:val="ru-RU"/>
        </w:rPr>
      </w:pPr>
      <w:proofErr w:type="gramStart"/>
      <w:r w:rsidRPr="0096616C">
        <w:rPr>
          <w:lang w:val="ru-RU"/>
        </w:rPr>
        <w:t>Законопроект решает три группы задач: экономико-организационные — замена «маршрутного рынка» контрактной системой и прозрачным учётом транспортной работы; социальные — обеспечение предсказуемости тарифа, сохранение льгот и транспортной доступности, включая доступность социальных объектов; управленческие — концентрация полномочий по установлению и изменению маршрутов у субъекта Российской Федерации (при сохранении самостоятельной компетенции городского округа), введение инструмента немедленного «подхвата» маршрута при сбоях.</w:t>
      </w:r>
      <w:proofErr w:type="gramEnd"/>
    </w:p>
    <w:p w14:paraId="43104614" w14:textId="519BCD17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>Предлагаемые решения развивают контрактную логику 44</w:t>
      </w:r>
      <w:r w:rsidR="00747AAF">
        <w:rPr>
          <w:lang w:val="ru-RU"/>
        </w:rPr>
        <w:t>-</w:t>
      </w:r>
      <w:r w:rsidRPr="0096616C">
        <w:rPr>
          <w:lang w:val="ru-RU"/>
        </w:rPr>
        <w:t>ФЗ и устраняют правовые основания для параллельного функционирования нерегулируемых перевозок, что в текущей практике приводит к снижению качества обслуживания, разрыву между планированием и фактической эксплуатацией, а также к транспортным «провалам» при уходе перевозчиков с маршрутов.</w:t>
      </w:r>
    </w:p>
    <w:p w14:paraId="625D4B00" w14:textId="77777777" w:rsidR="003062F4" w:rsidRPr="0096616C" w:rsidRDefault="003062F4" w:rsidP="00650814">
      <w:pPr>
        <w:spacing w:line="276" w:lineRule="auto"/>
        <w:rPr>
          <w:lang w:val="ru-RU"/>
        </w:rPr>
      </w:pPr>
    </w:p>
    <w:p w14:paraId="301321C2" w14:textId="11CA0B15" w:rsidR="003062F4" w:rsidRPr="0096616C" w:rsidRDefault="0096616C" w:rsidP="00650814">
      <w:pPr>
        <w:spacing w:line="276" w:lineRule="auto"/>
        <w:ind w:firstLine="0"/>
        <w:jc w:val="center"/>
        <w:rPr>
          <w:lang w:val="ru-RU"/>
        </w:rPr>
      </w:pPr>
      <w:r w:rsidRPr="0096616C">
        <w:rPr>
          <w:b/>
          <w:lang w:val="ru-RU"/>
        </w:rPr>
        <w:t>Состояние действующего регулирования и выявленные проблемы</w:t>
      </w:r>
    </w:p>
    <w:p w14:paraId="6902D263" w14:textId="6AA9A1AB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>Действующая редакция 220</w:t>
      </w:r>
      <w:r w:rsidR="00747AAF">
        <w:rPr>
          <w:lang w:val="ru-RU"/>
        </w:rPr>
        <w:t>-</w:t>
      </w:r>
      <w:r w:rsidRPr="0096616C">
        <w:rPr>
          <w:lang w:val="ru-RU"/>
        </w:rPr>
        <w:t>ФЗ допускает наличие двух режимов регулярных перевозок: по регулируемым тарифам (через контракт) и по нерегулируемым тарифам (через свидетельство и конкурсные процедуры). В правоприменении это приводит к разной степени ответственности перевозчиков, различной управляемости маршрутной сети и невозможности построения единого набора стандартов качества для населения.</w:t>
      </w:r>
    </w:p>
    <w:p w14:paraId="2C4E01AC" w14:textId="77777777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>Ключевые проблемы действующей модели проявляются по трём направлениям.</w:t>
      </w:r>
    </w:p>
    <w:p w14:paraId="47A2F7EE" w14:textId="154AA879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lastRenderedPageBreak/>
        <w:t>Во</w:t>
      </w:r>
      <w:r w:rsidR="00747AAF">
        <w:rPr>
          <w:lang w:val="ru-RU"/>
        </w:rPr>
        <w:t>-</w:t>
      </w:r>
      <w:r w:rsidRPr="0096616C">
        <w:rPr>
          <w:lang w:val="ru-RU"/>
        </w:rPr>
        <w:t xml:space="preserve">первых, отсутствие единого обязательного стандарта качества. Наиболее чувствительным показателем является соблюдение расписания: в малых населённых пунктах и сельской местности транспорт либо отсутствует, либо не обеспечивает устойчивого графика, что воспринимается населением как системная социальная проблема. </w:t>
      </w:r>
      <w:proofErr w:type="gramStart"/>
      <w:r w:rsidRPr="0096616C">
        <w:rPr>
          <w:lang w:val="ru-RU"/>
        </w:rPr>
        <w:t>По результатам проведённого мониторинга общественного транспорта (опрос 3,6 тыс. респондентов в 87 субъектах Российской Федерации) фиксируется, что в сельских населённых пунктах 27 процентов респондентов указывают на отсутствие общественного транспорта, ещё 19 процентов — на частые нарушения расписания; в административных центрах 39,6 процента считают, что расписание часто нарушается, а 15,5 процента — что оно почти никогда не соблюдается.</w:t>
      </w:r>
      <w:proofErr w:type="gramEnd"/>
      <w:r w:rsidRPr="0096616C">
        <w:rPr>
          <w:lang w:val="ru-RU"/>
        </w:rPr>
        <w:t xml:space="preserve"> Одновременно высокая доля населения оценивает проблему транспорта как острую, особенно в сельских территориях.</w:t>
      </w:r>
    </w:p>
    <w:p w14:paraId="520E3423" w14:textId="20E0CF5B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>Во</w:t>
      </w:r>
      <w:r w:rsidR="00747AAF">
        <w:rPr>
          <w:lang w:val="ru-RU"/>
        </w:rPr>
        <w:t>-</w:t>
      </w:r>
      <w:r w:rsidRPr="0096616C">
        <w:rPr>
          <w:lang w:val="ru-RU"/>
        </w:rPr>
        <w:t>вторых, территориальное неравенство в стоимости и доступности перевозок. Мониторинг показывает устойчивую зависимость: чем меньше населённый пункт, тем выше средняя стоимость поездки; при этом в сельской местности стоимость одной поездки в среднем примерно в 1,7 раза выше, чем в административных центрах субъектов Российской Федерации (около 44 рубля в административных центрах, около 57 рублей в малых городах и около 76 рублей в сельских территориях). Это усиливает социальную напряжённость и снижает доступность базовых услуг.</w:t>
      </w:r>
    </w:p>
    <w:p w14:paraId="05F2F1EB" w14:textId="18364E26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>В</w:t>
      </w:r>
      <w:r w:rsidR="00747AAF">
        <w:rPr>
          <w:lang w:val="ru-RU"/>
        </w:rPr>
        <w:t>-</w:t>
      </w:r>
      <w:r w:rsidRPr="0096616C">
        <w:rPr>
          <w:lang w:val="ru-RU"/>
        </w:rPr>
        <w:t>третьих, отсутствие быстрого и юридически определённого механизма обеспечения непрерывности перевозок при провале на маршруте. При прекращении действия лицензии, расторжении контракта либо фактическом прекращении перевозок запуск новой процедуры занимает значительное время; в этот период население оказывается без транспортного сообщения, а органы власти имеют ограниченный набор оперативных инструментов.</w:t>
      </w:r>
    </w:p>
    <w:p w14:paraId="5437779F" w14:textId="77777777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>Указанные проблемы усиливаются при ускоренном росте жилых микрорайонов и несинхронном развитии маршрутной сети, что приводит к появлению «белых пятен» транспортной доступности и к необходимости формализовать плановые решения в связке со стандартом транспортного обслуживания.</w:t>
      </w:r>
    </w:p>
    <w:p w14:paraId="6EF4F1E4" w14:textId="77777777" w:rsidR="003062F4" w:rsidRPr="0096616C" w:rsidRDefault="003062F4" w:rsidP="00650814">
      <w:pPr>
        <w:spacing w:line="276" w:lineRule="auto"/>
        <w:rPr>
          <w:lang w:val="ru-RU"/>
        </w:rPr>
      </w:pPr>
    </w:p>
    <w:p w14:paraId="45F09D95" w14:textId="019A9116" w:rsidR="003062F4" w:rsidRPr="0096616C" w:rsidRDefault="0096616C" w:rsidP="00650814">
      <w:pPr>
        <w:spacing w:line="276" w:lineRule="auto"/>
        <w:ind w:firstLine="0"/>
        <w:jc w:val="center"/>
        <w:rPr>
          <w:lang w:val="ru-RU"/>
        </w:rPr>
      </w:pPr>
      <w:r w:rsidRPr="0096616C">
        <w:rPr>
          <w:b/>
          <w:lang w:val="ru-RU"/>
        </w:rPr>
        <w:t>Содержание законопроекта и обоснование предлагаемых изменений</w:t>
      </w:r>
    </w:p>
    <w:p w14:paraId="3ADA2A61" w14:textId="77777777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>Законопроект предусматривает комплекс взаимосвязанных изменений, направленных на отказ от нерегулируемых перевозок как режима и на переход к контрактной системе по регулируемым тарифам.</w:t>
      </w:r>
    </w:p>
    <w:p w14:paraId="5E98AF7E" w14:textId="50EDE3E0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lastRenderedPageBreak/>
        <w:t>1. Встраивание транспортной доступности социальных объектов и социальной маршрутной сети в систему планирования. Законопроект дополняет статью 2 положениями о том, что требования к региональному стандарту транспортного обслуживания должны содержать показатели транспортной доступности социальных объектов и целевые значения таких показателей, при этом перечень социальных объектов и порядок определения показателей устанавливаются Правительством Российской Федерации. Дополнительно закрепляется обязанность включать в региональный комплексный план транспортного обслуживания перечень территорий, по которым целевые значения не достигаются, мероприятия по достижению целей и потребность в финансовом обеспечении, а также ежегодно публиковать сведения о фактическом достижении целевых показателей и о ходе реализации мероприятий. Таким образом, формируется управленческий контур «стандарт – план – публичная отчётность».</w:t>
      </w:r>
    </w:p>
    <w:p w14:paraId="22914FF7" w14:textId="77777777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>Одновременно вводится социальная маршрутная сеть как обязательный элемент документов планирования и регионального комплексного плана для удалённых, труднодоступных и (или) малонаселённых населённых пунктов, с установлением минимальных параметров транспортного обслуживания (периодичность рейсов, интервалы и (или) дни выполнения рейсов). Детализация критериев и параметров отнесена к Правительству Российской Федерации. Указанное решение направлено на устранение территориального неравенства и обеспечение доступа к базовым услугам (работа, медицина, образование, социальная помощь).</w:t>
      </w:r>
    </w:p>
    <w:p w14:paraId="3BB56C61" w14:textId="5ECC7E8A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>2. Унификация правового режима регулярных перевозок. В статье 3 уточняется понятийный аппарат (включая введение категорий гарантирующего перевозчика и временных перевозок в порядке гарантирования), а также изменяется определение регулярных перевозок как перевозок, осуществляемых с применением тарифов, устанавливаемых органами государственной власти субъектов Российской Федерации либо органами местного самоуправления (в границах городского округа), с предоставлением льгот. Исключение пунктов, закреплявших нерегулируемый режим, обеспечивает нормативную однозначность.</w:t>
      </w:r>
    </w:p>
    <w:p w14:paraId="3A0BA12D" w14:textId="44731810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 xml:space="preserve">3. Перераспределение полномочий по маршрутам в пользу субъекта Российской Федерации при сохранении компетенции городского округа. Законопроект излагает статью 11 в новой редакции: муниципальные маршруты в границах одного городского округа остаются в ведении уполномоченного органа местного самоуправления городского округа; все прочие муниципальные маршруты и межмуниципальные маршруты в границах субъекта Российской </w:t>
      </w:r>
      <w:r w:rsidRPr="0096616C">
        <w:rPr>
          <w:lang w:val="ru-RU"/>
        </w:rPr>
        <w:lastRenderedPageBreak/>
        <w:t>Федерации устанавливаются, изменяются и отменяются уполномоченным исполнительным органом государственной власти субъекта Российской Федерации. Данный подход устраняет раздробленность полномочий и позволяет формировать единую региональную маршрутную сеть при наличии финансовой ответственности субъекта.</w:t>
      </w:r>
    </w:p>
    <w:p w14:paraId="6B331050" w14:textId="69126963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>4. Изменение статьи 12: отказ от заявительной модели и введение обязательного общественного обсуждения изменений маршрутной сети. Исключается регулирование, ориентированное на рассмотрение заявлений перевозчиков, что соответствует контрактной модели. Вводится общественное обсуждение решений об установлении, изменении и отмене муниципальных и межмуниципальных маршрутов (за исключением гарантирования и случаев чрезвычайных ситуаций/повышенной готовности). Обсуждение проводится по решениям, влияющим на трассу, остановочные пункты, расписание и объём перевозок, влекущим снижение транспортной доступности, включая доступность социальных объектов. Одновременно закрепляется запрет на отмену или существенное ухудшение маршрута, если это приводит к недостижению целевых показателей транспортной доступности, при отсутствии компенсирующего решения. Конструкция обеспечивает баланс: мнение населения учитывается, но не формирует «вето»; решения принимаются на основе расчётной оценки влияния на показатели стандарта.</w:t>
      </w:r>
    </w:p>
    <w:p w14:paraId="2105CC85" w14:textId="61373889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>5. Контрактная модель (статья 14) как основной инструмент организации перевозок. Законопроект закрепляет, что маршруты устанавливаются для осуществления перевозок по регулируемым тарифам. Вводится возможность заключения одного государственного (муниципального) контракта по двум и более маршрутам (включение нескольких маршрутов в один объект закупки) при обязательном обосновании: цели объединения (в том числе обеспечение социальной маршрутной сети и достижение показателей стандарта и плана), транспортно</w:t>
      </w:r>
      <w:r w:rsidR="00747AAF">
        <w:rPr>
          <w:lang w:val="ru-RU"/>
        </w:rPr>
        <w:t>-</w:t>
      </w:r>
      <w:r w:rsidRPr="0096616C">
        <w:rPr>
          <w:lang w:val="ru-RU"/>
        </w:rPr>
        <w:t>технологическая связанность маршрутов, а также мотивированное подтверждение отсутствия необоснованного ограничения конкуренции. Данная конструкция направлена на предотвращение «выедания» прибыльных направлений и обеспечивает устойчивость социально значимых маршрутов.</w:t>
      </w:r>
    </w:p>
    <w:p w14:paraId="7683BCBD" w14:textId="71E1D31F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 xml:space="preserve">Вводится модель управляемого распределения выручки: по общему правилу плата за проезд перечисляется заказчику, при этом контракт может предусматривать обязательную часть платы, остающуюся подрядчику, но не более 50 процентов фактически полученной платы. Это позволяет сочетать дисциплину </w:t>
      </w:r>
      <w:r>
        <w:t>gross</w:t>
      </w:r>
      <w:r w:rsidR="00747AAF">
        <w:rPr>
          <w:lang w:val="ru-RU"/>
        </w:rPr>
        <w:t>-</w:t>
      </w:r>
      <w:r w:rsidRPr="0096616C">
        <w:rPr>
          <w:lang w:val="ru-RU"/>
        </w:rPr>
        <w:t xml:space="preserve">контракта с рыночной мотивацией исполнителя и снижает риск срыва </w:t>
      </w:r>
      <w:r w:rsidRPr="0096616C">
        <w:rPr>
          <w:lang w:val="ru-RU"/>
        </w:rPr>
        <w:lastRenderedPageBreak/>
        <w:t>перевозок по экономическим причинам. Уточняется порядок расчёта цены контракта при перечислении платы заказчику: начальная (максимальная) цена и цена контракта формируются без учёта части платы, подлежащей перечислению заказчику.</w:t>
      </w:r>
    </w:p>
    <w:p w14:paraId="36ECA83B" w14:textId="77777777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>В качестве обязательных условий контракта закрепляются показатели качества и транспортной доступности (в связке с документами планирования, региональным стандартом и комплексным планом), а также порядок контроля достижения показателей. В целях контроля соблюдения расписания (интервалов движения) и выполнения рейсов предусматривается обязанность оснащения транспортных средств средствами объективного контроля и передача данных заказчику; одновременно устанавливается обязанность заказчика размещать в сети Интернет обобщённые сведения о соблюдении расписания и выполнении рейсов. Это обеспечивает прозрачность и доказуемость исполнения.</w:t>
      </w:r>
    </w:p>
    <w:p w14:paraId="2FFEA5CB" w14:textId="77777777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>Также вводится условие об ответственности подрядчика за прекращение (перерыв) перевозок по причинам нарушения условий контракта, повлекшее организацию гарантирования, включая обязанность возместить соответствующие расходы бюджета в порядке и на условиях, предусмотренных контрактом и гражданским законодательством.</w:t>
      </w:r>
    </w:p>
    <w:p w14:paraId="572B25BA" w14:textId="67978AAE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>6. Полный отказ от нерегулируемых тарифов и демонтаж конкурсной модели по маршрутам. Законопроект признаёт утратившей силу статью 17 и статьи 19–24 220</w:t>
      </w:r>
      <w:r w:rsidR="00747AAF">
        <w:rPr>
          <w:lang w:val="ru-RU"/>
        </w:rPr>
        <w:t>-</w:t>
      </w:r>
      <w:r w:rsidRPr="0096616C">
        <w:rPr>
          <w:lang w:val="ru-RU"/>
        </w:rPr>
        <w:t>ФЗ. Одновременно новая редакция статьи 18 устанавливает механизм перевода перевозок на регулируемые тарифы: решение о переводе принимается уполномоченным органом (субъект РФ или городской округ), при этом дата вступления решения в силу должна совпадать с датой начала исполнения государственного (муниципального) контракта. Запрещается принятие решений, предусматривающих перевозки по нерегулируемым тарифам, а также перевод на нерегулируемые тарифы. С 1 января 2028 года регулярные перевозки по муниципальным, межмуниципальным и смежным межрегиональным маршрутам осуществляются по регулируемым тарифам.</w:t>
      </w:r>
    </w:p>
    <w:p w14:paraId="2D532744" w14:textId="3B5B52FA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 xml:space="preserve">7. Институт гарантирующего перевозчика (статьи 19.1–19.3) как страховочный механизм. Вводится гарантирующий перевозчик — хозяйственное общество с долей участия субъекта Российской Федерации и (или) Российской Федерации не менее 50 процентов, осуществляющее перевозки на основании лицензии и включённое в реестр гарантирующих перевозчиков. Статус присваивается на пять лет по результатам конкурсного отбора; Правительство Российской Федерации устанавливает требования к готовности (резерв </w:t>
      </w:r>
      <w:r w:rsidRPr="0096616C">
        <w:rPr>
          <w:lang w:val="ru-RU"/>
        </w:rPr>
        <w:lastRenderedPageBreak/>
        <w:t>подвижного состава, персонал, диспетчеризация и иные ресурсы), порядок подтверждения соответствия и минимальные показатели обеспеченности.</w:t>
      </w:r>
    </w:p>
    <w:p w14:paraId="6A16153F" w14:textId="77777777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>Временные перевозки в порядке гарантирования организуются при угрозе прекращения перевозок (расторжение/приостановление контракта, прекращение лицензии, чрезвычайные ситуации, иные случаи по закону субъекта при условии связи с риском перерыва). Решение уполномоченного органа должно содержать реестровый номер маршрута, дату и время начала, минимальные требования к объёму перевозок (расписание либо временный график) и срок. Гарантирующий перевозчик обязан приступить к перевозкам не позднее одного календарного дня. Срок временных перевозок ограничен 180 днями; объём требований не может превышать объём последнего контракта, а при отсутствии контракта — объём по документам планирования и реестровым сведениям.</w:t>
      </w:r>
    </w:p>
    <w:p w14:paraId="6C39FEE8" w14:textId="77777777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>Тарифная логика гарантирования: применяется тариф не выше регулируемого тарифа по соответствующему маршруту (группе маршрутов) более чем на 10 процентов; плата за проезд остаётся у гарантирующего перевозчика в полном объёме. Льготы сохраняются, а недополученные доходы компенсируются из бюджета субъекта Российской Федерации (местного бюджета — в городском округе) в пределах бюджетных ассигнований. Дополнительно предусматриваются компенсации части расходов гаранта на ГСМ и части компенсационных выплат водителям (в пределах установленных процентов и ассигнований). В случае виновного поведения подрядчика или перевозчика (нарушение контракта либо обязательных требований, повлекших гарантирование) расходы бюджета, произведённые в связи с организацией гарантирования, подлежат взысканию с виновного лица в порядке гражданского законодательства.</w:t>
      </w:r>
    </w:p>
    <w:p w14:paraId="07F4EF23" w14:textId="77777777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>В совокупности указанные меры формируют юридически определённый механизм «подхвата» маршрута, исключающий длительные перерывы в транспортном обслуживании населения, при сохранении бюджетной дисциплины и возможности регресса к виновному нарушителю.</w:t>
      </w:r>
    </w:p>
    <w:p w14:paraId="5A86D812" w14:textId="77777777" w:rsidR="003062F4" w:rsidRPr="0096616C" w:rsidRDefault="003062F4" w:rsidP="00650814">
      <w:pPr>
        <w:spacing w:line="276" w:lineRule="auto"/>
        <w:rPr>
          <w:lang w:val="ru-RU"/>
        </w:rPr>
      </w:pPr>
    </w:p>
    <w:p w14:paraId="4F5CF99C" w14:textId="2E44FBF8" w:rsidR="003062F4" w:rsidRPr="0096616C" w:rsidRDefault="0096616C" w:rsidP="00650814">
      <w:pPr>
        <w:spacing w:line="276" w:lineRule="auto"/>
        <w:ind w:firstLine="0"/>
        <w:jc w:val="left"/>
        <w:rPr>
          <w:lang w:val="ru-RU"/>
        </w:rPr>
      </w:pPr>
      <w:r w:rsidRPr="0096616C">
        <w:rPr>
          <w:b/>
          <w:lang w:val="ru-RU"/>
        </w:rPr>
        <w:t xml:space="preserve"> Ожидаемые социально-экономические и правовые последствия принятия</w:t>
      </w:r>
    </w:p>
    <w:p w14:paraId="3CE0A339" w14:textId="77777777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>Принятие законопроекта обеспечит переход к единому стандарту регулярных перевозок и повысит управляемость транспортной системы.</w:t>
      </w:r>
    </w:p>
    <w:p w14:paraId="10E29B79" w14:textId="77777777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 xml:space="preserve">Социальный эффект выражается в повышении предсказуемости тарифа, гарантированном предоставлении льгот и снижении риска прекращения перевозок. Для сельских и малых территорий существенное значение имеет закрепление социальной маршрутной сети и увязка маршрутных решений с </w:t>
      </w:r>
      <w:r w:rsidRPr="0096616C">
        <w:rPr>
          <w:lang w:val="ru-RU"/>
        </w:rPr>
        <w:lastRenderedPageBreak/>
        <w:t>достижением целевых показателей транспортной доступности, в том числе доступности социальных объектов. Это создаёт юридическую рамку для выравнивания территориальной доступности.</w:t>
      </w:r>
    </w:p>
    <w:p w14:paraId="60733BA9" w14:textId="77777777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>Управленческий эффект достигается концентрацией полномочий у субъекта Российской Федерации (при сохранении компетенции городского округа), что позволяет формировать единую маршрутную сеть, перераспределять транспортную работу и пакетировать социально значимые направления в рамках единого объекта закупки, обеспечивая устойчивость перевозок.</w:t>
      </w:r>
    </w:p>
    <w:p w14:paraId="3FC49FE8" w14:textId="77777777" w:rsidR="003062F4" w:rsidRPr="0096616C" w:rsidRDefault="0096616C" w:rsidP="00650814">
      <w:pPr>
        <w:spacing w:line="276" w:lineRule="auto"/>
        <w:rPr>
          <w:lang w:val="ru-RU"/>
        </w:rPr>
      </w:pPr>
      <w:r w:rsidRPr="0096616C">
        <w:rPr>
          <w:lang w:val="ru-RU"/>
        </w:rPr>
        <w:t xml:space="preserve">Правовой эффект заключается в устранении конкурирующих режимов, повышении прозрачности контрактов и усилении доказуемости исполнения (объективный контроль рейсов, обязательная публикация агрегированных данных, </w:t>
      </w:r>
      <w:r>
        <w:t>KPI</w:t>
      </w:r>
      <w:r w:rsidRPr="0096616C">
        <w:rPr>
          <w:lang w:val="ru-RU"/>
        </w:rPr>
        <w:t>). Одновременно институт гаранта минимизирует правово</w:t>
      </w:r>
      <w:bookmarkStart w:id="0" w:name="_GoBack"/>
      <w:bookmarkEnd w:id="0"/>
      <w:r w:rsidRPr="0096616C">
        <w:rPr>
          <w:lang w:val="ru-RU"/>
        </w:rPr>
        <w:t>й и социальный ущерб от провалов перевозчиков и повышает доверие граждан к системе публичного транспортного обслуживания.</w:t>
      </w:r>
    </w:p>
    <w:p w14:paraId="75375521" w14:textId="02412323" w:rsidR="00327CD6" w:rsidRDefault="00327CD6">
      <w:pPr>
        <w:spacing w:after="200" w:line="276" w:lineRule="auto"/>
        <w:ind w:firstLine="0"/>
        <w:jc w:val="left"/>
        <w:rPr>
          <w:lang w:val="ru-RU"/>
        </w:rPr>
      </w:pPr>
    </w:p>
    <w:sectPr w:rsidR="00327CD6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14EB"/>
    <w:rsid w:val="00034616"/>
    <w:rsid w:val="0006063C"/>
    <w:rsid w:val="0015074B"/>
    <w:rsid w:val="0029639D"/>
    <w:rsid w:val="003062F4"/>
    <w:rsid w:val="00326F90"/>
    <w:rsid w:val="00327CD6"/>
    <w:rsid w:val="003A187C"/>
    <w:rsid w:val="00650814"/>
    <w:rsid w:val="00747AAF"/>
    <w:rsid w:val="00936450"/>
    <w:rsid w:val="0096616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34A7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3E53FB-90D7-4F23-A6E9-5CDA25D3C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2244</Words>
  <Characters>12792</Characters>
  <Application>Microsoft Office Word</Application>
  <DocSecurity>0</DocSecurity>
  <Lines>106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15006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КУЗНЕЦОВ Вадим Игоревич</cp:lastModifiedBy>
  <cp:revision>7</cp:revision>
  <dcterms:created xsi:type="dcterms:W3CDTF">2026-02-25T13:07:00Z</dcterms:created>
  <dcterms:modified xsi:type="dcterms:W3CDTF">2026-04-15T10:48:00Z</dcterms:modified>
  <cp:category/>
</cp:coreProperties>
</file>