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41F37" w:rsidRPr="00832A5D" w:rsidRDefault="00041F37" w:rsidP="00832A5D">
      <w:pPr>
        <w:spacing w:line="20" w:lineRule="exact"/>
        <w:rPr>
          <w:rFonts w:ascii="Times New Roman" w:hAnsi="Times New Roman"/>
          <w:szCs w:val="28"/>
          <w:u w:val="single"/>
        </w:rPr>
      </w:pPr>
    </w:p>
    <w:p w:rsidR="00AB4C1F" w:rsidRDefault="007C66F1" w:rsidP="00832A5D">
      <w:pPr>
        <w:pStyle w:val="a9"/>
        <w:spacing w:before="0" w:line="240" w:lineRule="atLeast"/>
        <w:rPr>
          <w:b/>
        </w:rPr>
      </w:pPr>
      <w:r w:rsidRPr="00832A5D">
        <w:rPr>
          <w:b/>
        </w:rPr>
        <w:t>ПОЯСНИТЕЛЬНАЯ ЗАПИСКА</w:t>
      </w:r>
    </w:p>
    <w:p w:rsidR="00832A5D" w:rsidRPr="00832A5D" w:rsidRDefault="00832A5D" w:rsidP="00832A5D">
      <w:pPr>
        <w:pStyle w:val="a9"/>
        <w:spacing w:before="0" w:line="120" w:lineRule="exact"/>
        <w:rPr>
          <w:b/>
        </w:rPr>
      </w:pPr>
    </w:p>
    <w:p w:rsidR="00AB4C1F" w:rsidRPr="00832A5D" w:rsidRDefault="007C66F1" w:rsidP="00832A5D">
      <w:pPr>
        <w:pStyle w:val="aa"/>
        <w:spacing w:before="0" w:line="240" w:lineRule="atLeast"/>
        <w:contextualSpacing/>
        <w:rPr>
          <w:rFonts w:ascii="Times New Roman" w:hAnsi="Times New Roman"/>
        </w:rPr>
      </w:pPr>
      <w:r w:rsidRPr="00832A5D">
        <w:rPr>
          <w:rFonts w:ascii="Times New Roman" w:hAnsi="Times New Roman"/>
        </w:rPr>
        <w:t>к проекту федерального закона</w:t>
      </w:r>
      <w:r w:rsidR="00832A5D">
        <w:rPr>
          <w:rFonts w:ascii="Times New Roman" w:hAnsi="Times New Roman"/>
        </w:rPr>
        <w:t xml:space="preserve"> "</w:t>
      </w:r>
      <w:r w:rsidRPr="00832A5D">
        <w:rPr>
          <w:rFonts w:ascii="Times New Roman" w:hAnsi="Times New Roman"/>
        </w:rPr>
        <w:t xml:space="preserve">О внесении изменений </w:t>
      </w:r>
      <w:r w:rsidR="00832A5D">
        <w:rPr>
          <w:rFonts w:ascii="Times New Roman" w:hAnsi="Times New Roman"/>
        </w:rPr>
        <w:br/>
      </w:r>
      <w:r w:rsidRPr="00832A5D">
        <w:rPr>
          <w:rFonts w:ascii="Times New Roman" w:hAnsi="Times New Roman"/>
        </w:rPr>
        <w:t xml:space="preserve">в Федеральный закон </w:t>
      </w:r>
      <w:r w:rsidR="00832A5D">
        <w:rPr>
          <w:rFonts w:ascii="Times New Roman" w:hAnsi="Times New Roman"/>
        </w:rPr>
        <w:t>"</w:t>
      </w:r>
      <w:r w:rsidRPr="00832A5D">
        <w:rPr>
          <w:rFonts w:ascii="Times New Roman" w:hAnsi="Times New Roman"/>
        </w:rPr>
        <w:t>Об основах государственного регулирования торговой деятельности в Российской Федерации</w:t>
      </w:r>
      <w:r w:rsidR="00832A5D">
        <w:rPr>
          <w:rFonts w:ascii="Times New Roman" w:hAnsi="Times New Roman"/>
        </w:rPr>
        <w:t>"</w:t>
      </w:r>
      <w:r w:rsidR="00A97EEE" w:rsidRPr="00832A5D">
        <w:rPr>
          <w:rFonts w:ascii="Times New Roman" w:hAnsi="Times New Roman"/>
        </w:rPr>
        <w:t xml:space="preserve"> </w:t>
      </w:r>
    </w:p>
    <w:p w:rsidR="00832A5D" w:rsidRDefault="00832A5D" w:rsidP="00832A5D">
      <w:pPr>
        <w:pStyle w:val="Default"/>
        <w:spacing w:line="240" w:lineRule="atLeast"/>
        <w:jc w:val="both"/>
        <w:rPr>
          <w:sz w:val="28"/>
          <w:szCs w:val="28"/>
        </w:rPr>
      </w:pPr>
    </w:p>
    <w:p w:rsidR="00832A5D" w:rsidRDefault="00832A5D" w:rsidP="00832A5D">
      <w:pPr>
        <w:pStyle w:val="Default"/>
        <w:spacing w:line="240" w:lineRule="atLeast"/>
        <w:jc w:val="both"/>
        <w:rPr>
          <w:sz w:val="28"/>
          <w:szCs w:val="28"/>
        </w:rPr>
      </w:pPr>
    </w:p>
    <w:p w:rsidR="00682B02" w:rsidRDefault="007C66F1" w:rsidP="00682B02">
      <w:pPr>
        <w:pStyle w:val="Default"/>
        <w:spacing w:line="360" w:lineRule="atLeast"/>
        <w:ind w:firstLine="709"/>
        <w:jc w:val="both"/>
        <w:rPr>
          <w:sz w:val="28"/>
          <w:szCs w:val="28"/>
        </w:rPr>
      </w:pPr>
      <w:r w:rsidRPr="00832A5D">
        <w:rPr>
          <w:sz w:val="28"/>
          <w:szCs w:val="28"/>
        </w:rPr>
        <w:t>Проект</w:t>
      </w:r>
      <w:r>
        <w:rPr>
          <w:sz w:val="28"/>
          <w:szCs w:val="28"/>
        </w:rPr>
        <w:t>ом</w:t>
      </w:r>
      <w:r w:rsidRPr="00832A5D">
        <w:rPr>
          <w:sz w:val="28"/>
          <w:szCs w:val="28"/>
        </w:rPr>
        <w:t xml:space="preserve"> федерального закона </w:t>
      </w:r>
      <w:r>
        <w:rPr>
          <w:sz w:val="28"/>
          <w:szCs w:val="28"/>
        </w:rPr>
        <w:t>"</w:t>
      </w:r>
      <w:r w:rsidRPr="00832A5D">
        <w:rPr>
          <w:sz w:val="28"/>
          <w:szCs w:val="28"/>
        </w:rPr>
        <w:t xml:space="preserve">О внесении изменений в Федеральный закон </w:t>
      </w:r>
      <w:r>
        <w:rPr>
          <w:sz w:val="28"/>
          <w:szCs w:val="28"/>
        </w:rPr>
        <w:t>"</w:t>
      </w:r>
      <w:r w:rsidRPr="00832A5D">
        <w:rPr>
          <w:sz w:val="28"/>
          <w:szCs w:val="28"/>
        </w:rPr>
        <w:t xml:space="preserve">Об основах государственного регулирования торговой деятельности </w:t>
      </w:r>
      <w:r>
        <w:rPr>
          <w:sz w:val="28"/>
          <w:szCs w:val="28"/>
        </w:rPr>
        <w:br/>
      </w:r>
      <w:r w:rsidRPr="00832A5D">
        <w:rPr>
          <w:sz w:val="28"/>
          <w:szCs w:val="28"/>
        </w:rPr>
        <w:t>в Российской Федерации</w:t>
      </w:r>
      <w:r>
        <w:rPr>
          <w:sz w:val="28"/>
          <w:szCs w:val="28"/>
        </w:rPr>
        <w:t>"</w:t>
      </w:r>
      <w:r w:rsidRPr="00832A5D">
        <w:rPr>
          <w:sz w:val="28"/>
          <w:szCs w:val="28"/>
        </w:rPr>
        <w:t xml:space="preserve"> (далее - законопроект, Федеральный закон) предлагается внести в Федеральный закон изменения, устанавливающие возможность неприменения положений об обязанностях и требованиях, предъявляемых к организаторам исследований това</w:t>
      </w:r>
      <w:r>
        <w:rPr>
          <w:sz w:val="28"/>
          <w:szCs w:val="28"/>
        </w:rPr>
        <w:t>рных рынков, указанных в статье </w:t>
      </w:r>
      <w:r w:rsidRPr="00832A5D">
        <w:rPr>
          <w:sz w:val="28"/>
          <w:szCs w:val="28"/>
        </w:rPr>
        <w:t>12</w:t>
      </w:r>
      <w:r w:rsidRPr="00832A5D">
        <w:rPr>
          <w:sz w:val="28"/>
          <w:szCs w:val="28"/>
          <w:vertAlign w:val="superscript"/>
        </w:rPr>
        <w:t>1</w:t>
      </w:r>
      <w:r w:rsidRPr="00832A5D">
        <w:rPr>
          <w:sz w:val="28"/>
          <w:szCs w:val="28"/>
        </w:rPr>
        <w:t xml:space="preserve"> и частях 5 - 7 статьи 12</w:t>
      </w:r>
      <w:r w:rsidRPr="00832A5D">
        <w:rPr>
          <w:sz w:val="28"/>
          <w:szCs w:val="28"/>
          <w:vertAlign w:val="superscript"/>
        </w:rPr>
        <w:t>2</w:t>
      </w:r>
      <w:r w:rsidRPr="00832A5D">
        <w:rPr>
          <w:sz w:val="28"/>
          <w:szCs w:val="28"/>
        </w:rPr>
        <w:t xml:space="preserve"> Федерального закона (в ред</w:t>
      </w:r>
      <w:r>
        <w:rPr>
          <w:sz w:val="28"/>
          <w:szCs w:val="28"/>
        </w:rPr>
        <w:t>акции Федерального закона от 31 июля 2025 г. № </w:t>
      </w:r>
      <w:r w:rsidRPr="00832A5D">
        <w:rPr>
          <w:sz w:val="28"/>
          <w:szCs w:val="28"/>
        </w:rPr>
        <w:t xml:space="preserve">351-ФЗ </w:t>
      </w:r>
      <w:r>
        <w:rPr>
          <w:sz w:val="28"/>
          <w:szCs w:val="28"/>
        </w:rPr>
        <w:t>"</w:t>
      </w:r>
      <w:r w:rsidRPr="00832A5D">
        <w:rPr>
          <w:sz w:val="28"/>
          <w:szCs w:val="28"/>
        </w:rPr>
        <w:t xml:space="preserve">О внесении изменений </w:t>
      </w:r>
      <w:r>
        <w:rPr>
          <w:sz w:val="28"/>
          <w:szCs w:val="28"/>
        </w:rPr>
        <w:br/>
      </w:r>
      <w:r w:rsidRPr="00832A5D">
        <w:rPr>
          <w:sz w:val="28"/>
          <w:szCs w:val="28"/>
        </w:rPr>
        <w:t xml:space="preserve">в Федеральный закон </w:t>
      </w:r>
      <w:r>
        <w:rPr>
          <w:sz w:val="28"/>
          <w:szCs w:val="28"/>
        </w:rPr>
        <w:t>"</w:t>
      </w:r>
      <w:r w:rsidRPr="00832A5D">
        <w:rPr>
          <w:sz w:val="28"/>
          <w:szCs w:val="28"/>
        </w:rPr>
        <w:t xml:space="preserve">Об основах государственного регулирования </w:t>
      </w:r>
      <w:r>
        <w:rPr>
          <w:sz w:val="28"/>
          <w:szCs w:val="28"/>
        </w:rPr>
        <w:br/>
      </w:r>
      <w:r w:rsidRPr="00832A5D">
        <w:rPr>
          <w:sz w:val="28"/>
          <w:szCs w:val="28"/>
        </w:rPr>
        <w:t>торговой деятельности в Российской Федерации</w:t>
      </w:r>
      <w:r>
        <w:rPr>
          <w:sz w:val="28"/>
          <w:szCs w:val="28"/>
        </w:rPr>
        <w:t xml:space="preserve">"), которые вступили в силу </w:t>
      </w:r>
      <w:r>
        <w:rPr>
          <w:sz w:val="28"/>
          <w:szCs w:val="28"/>
        </w:rPr>
        <w:br/>
        <w:t>с 1 марта 2026 </w:t>
      </w:r>
      <w:r w:rsidRPr="00832A5D">
        <w:rPr>
          <w:sz w:val="28"/>
          <w:szCs w:val="28"/>
        </w:rPr>
        <w:t>г</w:t>
      </w:r>
      <w:r>
        <w:rPr>
          <w:sz w:val="28"/>
          <w:szCs w:val="28"/>
        </w:rPr>
        <w:t>ода</w:t>
      </w:r>
      <w:r w:rsidRPr="00832A5D">
        <w:rPr>
          <w:sz w:val="28"/>
          <w:szCs w:val="28"/>
        </w:rPr>
        <w:t xml:space="preserve">. </w:t>
      </w:r>
    </w:p>
    <w:p w:rsidR="00682B02" w:rsidRDefault="007C66F1" w:rsidP="00682B02">
      <w:pPr>
        <w:pStyle w:val="Default"/>
        <w:spacing w:line="360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При этом срок действия предусмотренного законопроектом исключения предлагается ограничить 1 сентября 2028 года - датой завершения переходного периода, установленного статьей 15 Федерального закона "Об администраторах товарных и финансовых инд</w:t>
      </w:r>
      <w:bookmarkStart w:id="0" w:name="_GoBack"/>
      <w:bookmarkEnd w:id="0"/>
      <w:r>
        <w:rPr>
          <w:sz w:val="28"/>
          <w:szCs w:val="28"/>
        </w:rPr>
        <w:t>икаторов".</w:t>
      </w:r>
    </w:p>
    <w:p w:rsidR="00682B02" w:rsidRPr="00832A5D" w:rsidRDefault="007C66F1" w:rsidP="00682B02">
      <w:pPr>
        <w:pStyle w:val="Default"/>
        <w:spacing w:line="360" w:lineRule="atLeast"/>
        <w:ind w:firstLine="709"/>
        <w:jc w:val="both"/>
        <w:rPr>
          <w:sz w:val="28"/>
          <w:szCs w:val="28"/>
        </w:rPr>
      </w:pPr>
      <w:r w:rsidRPr="00832A5D">
        <w:rPr>
          <w:sz w:val="28"/>
          <w:szCs w:val="28"/>
        </w:rPr>
        <w:t xml:space="preserve">Положения законопроекта </w:t>
      </w:r>
      <w:r w:rsidR="0015701F">
        <w:rPr>
          <w:sz w:val="28"/>
          <w:szCs w:val="28"/>
        </w:rPr>
        <w:t>соответствуют</w:t>
      </w:r>
      <w:r w:rsidRPr="00832A5D">
        <w:rPr>
          <w:sz w:val="28"/>
          <w:szCs w:val="28"/>
        </w:rPr>
        <w:t xml:space="preserve"> </w:t>
      </w:r>
      <w:r w:rsidR="006323F3">
        <w:rPr>
          <w:sz w:val="28"/>
          <w:szCs w:val="28"/>
        </w:rPr>
        <w:t xml:space="preserve">положениям </w:t>
      </w:r>
      <w:r w:rsidRPr="00832A5D">
        <w:rPr>
          <w:sz w:val="28"/>
          <w:szCs w:val="28"/>
        </w:rPr>
        <w:t>Договор</w:t>
      </w:r>
      <w:r w:rsidR="006323F3">
        <w:rPr>
          <w:sz w:val="28"/>
          <w:szCs w:val="28"/>
        </w:rPr>
        <w:t>а</w:t>
      </w:r>
      <w:r w:rsidR="006323F3">
        <w:rPr>
          <w:sz w:val="28"/>
          <w:szCs w:val="28"/>
        </w:rPr>
        <w:br/>
      </w:r>
      <w:r w:rsidRPr="00832A5D">
        <w:rPr>
          <w:sz w:val="28"/>
          <w:szCs w:val="28"/>
        </w:rPr>
        <w:t xml:space="preserve"> о Евразийском экономическом союзе и иным международным договорам Российской Федерации. </w:t>
      </w:r>
    </w:p>
    <w:p w:rsidR="00682B02" w:rsidRPr="00832A5D" w:rsidRDefault="007C66F1" w:rsidP="00682B02">
      <w:pPr>
        <w:pStyle w:val="Default"/>
        <w:spacing w:line="360" w:lineRule="atLeast"/>
        <w:ind w:firstLine="709"/>
        <w:jc w:val="both"/>
        <w:rPr>
          <w:sz w:val="28"/>
          <w:szCs w:val="28"/>
        </w:rPr>
      </w:pPr>
      <w:r w:rsidRPr="00832A5D">
        <w:rPr>
          <w:sz w:val="28"/>
          <w:szCs w:val="28"/>
        </w:rPr>
        <w:t xml:space="preserve">В законопроекте отсутствуют требования, которые связаны </w:t>
      </w:r>
      <w:r>
        <w:rPr>
          <w:sz w:val="28"/>
          <w:szCs w:val="28"/>
        </w:rPr>
        <w:br/>
      </w:r>
      <w:r w:rsidRPr="00832A5D">
        <w:rPr>
          <w:sz w:val="28"/>
          <w:szCs w:val="28"/>
        </w:rPr>
        <w:t xml:space="preserve">с осуществлением предпринимательской и иной экономической деятельности </w:t>
      </w:r>
      <w:r>
        <w:rPr>
          <w:sz w:val="28"/>
          <w:szCs w:val="28"/>
        </w:rPr>
        <w:br/>
      </w:r>
      <w:r w:rsidRPr="00832A5D">
        <w:rPr>
          <w:sz w:val="28"/>
          <w:szCs w:val="28"/>
        </w:rPr>
        <w:t xml:space="preserve">и оценка соблюдения которых осуществляется в рамках государственного контроля (надзора), муниципального контроля, привлечения </w:t>
      </w:r>
      <w:r>
        <w:rPr>
          <w:sz w:val="28"/>
          <w:szCs w:val="28"/>
        </w:rPr>
        <w:br/>
      </w:r>
      <w:r w:rsidRPr="00832A5D">
        <w:rPr>
          <w:sz w:val="28"/>
          <w:szCs w:val="28"/>
        </w:rPr>
        <w:t xml:space="preserve">к административной ответственности, предоставления лицензий и иных разрешений, аккредитации, оценки соответствия продукции, иных форм оценки и экспертизы. </w:t>
      </w:r>
    </w:p>
    <w:p w:rsidR="00682B02" w:rsidRPr="00832A5D" w:rsidRDefault="007C66F1" w:rsidP="00682B02">
      <w:pPr>
        <w:pStyle w:val="Default"/>
        <w:spacing w:line="360" w:lineRule="atLeast"/>
        <w:ind w:firstLine="709"/>
        <w:jc w:val="both"/>
        <w:rPr>
          <w:sz w:val="28"/>
          <w:szCs w:val="28"/>
        </w:rPr>
      </w:pPr>
      <w:r w:rsidRPr="00832A5D">
        <w:rPr>
          <w:sz w:val="28"/>
          <w:szCs w:val="28"/>
        </w:rPr>
        <w:t xml:space="preserve">Реализация положений законопроекта не повлечет негативных социально-экономических, финансовых и иных последствий и не окажет влияние </w:t>
      </w:r>
      <w:r>
        <w:rPr>
          <w:sz w:val="28"/>
          <w:szCs w:val="28"/>
        </w:rPr>
        <w:br/>
      </w:r>
      <w:r w:rsidRPr="00832A5D">
        <w:rPr>
          <w:sz w:val="28"/>
          <w:szCs w:val="28"/>
        </w:rPr>
        <w:t xml:space="preserve">на достижение целей государственных программ Российской Федерации. </w:t>
      </w:r>
    </w:p>
    <w:p w:rsidR="00682B02" w:rsidRPr="00832A5D" w:rsidRDefault="007C66F1" w:rsidP="00682B02">
      <w:pPr>
        <w:ind w:firstLine="709"/>
        <w:rPr>
          <w:rFonts w:ascii="Times New Roman" w:hAnsi="Times New Roman"/>
          <w:szCs w:val="28"/>
        </w:rPr>
      </w:pPr>
      <w:r w:rsidRPr="00832A5D">
        <w:rPr>
          <w:rFonts w:ascii="Times New Roman" w:hAnsi="Times New Roman"/>
          <w:szCs w:val="28"/>
        </w:rPr>
        <w:t xml:space="preserve">Аналогичные по содержанию проекты федеральных законов в настоящее время в палатах Федерального Собрания Российской Федерации </w:t>
      </w:r>
      <w:r>
        <w:rPr>
          <w:rFonts w:ascii="Times New Roman" w:hAnsi="Times New Roman"/>
          <w:szCs w:val="28"/>
        </w:rPr>
        <w:br/>
      </w:r>
      <w:r w:rsidRPr="00832A5D">
        <w:rPr>
          <w:rFonts w:ascii="Times New Roman" w:hAnsi="Times New Roman"/>
          <w:szCs w:val="28"/>
        </w:rPr>
        <w:t>на рассмотрении не находятся.</w:t>
      </w:r>
    </w:p>
    <w:p w:rsidR="00C23295" w:rsidRPr="00832A5D" w:rsidRDefault="00C23295" w:rsidP="00682B02">
      <w:pPr>
        <w:pStyle w:val="Default"/>
        <w:spacing w:line="360" w:lineRule="atLeast"/>
        <w:ind w:firstLine="709"/>
        <w:jc w:val="both"/>
        <w:rPr>
          <w:szCs w:val="28"/>
        </w:rPr>
      </w:pPr>
    </w:p>
    <w:sectPr w:rsidR="00C23295" w:rsidRPr="00832A5D" w:rsidSect="00832A5D">
      <w:headerReference w:type="default" r:id="rId8"/>
      <w:footerReference w:type="default" r:id="rId9"/>
      <w:footerReference w:type="first" r:id="rId10"/>
      <w:type w:val="continuous"/>
      <w:pgSz w:w="11907" w:h="16840" w:code="9"/>
      <w:pgMar w:top="1418" w:right="737" w:bottom="1418" w:left="1418" w:header="709" w:footer="1134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73D0B" w:rsidRDefault="00C73D0B">
      <w:pPr>
        <w:spacing w:line="240" w:lineRule="auto"/>
      </w:pPr>
      <w:r>
        <w:separator/>
      </w:r>
    </w:p>
  </w:endnote>
  <w:endnote w:type="continuationSeparator" w:id="0">
    <w:p w:rsidR="00C73D0B" w:rsidRDefault="00C73D0B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 New Roman Полужирный">
    <w:altName w:val="Times New Roman"/>
    <w:panose1 w:val="02020803070505020304"/>
    <w:charset w:val="CC"/>
    <w:family w:val="roman"/>
    <w:pitch w:val="variable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Style w:val="a8"/>
      <w:tblpPr w:leftFromText="181" w:rightFromText="181" w:vertAnchor="text" w:horzAnchor="margin" w:tblpXSpec="right" w:tblpY="1"/>
      <w:tblOverlap w:val="never"/>
      <w:tblW w:w="0" w:type="auto"/>
      <w:tblLook w:val="04A0" w:firstRow="1" w:lastRow="0" w:firstColumn="1" w:lastColumn="0" w:noHBand="0" w:noVBand="1"/>
    </w:tblPr>
    <w:tblGrid>
      <w:gridCol w:w="3166"/>
    </w:tblGrid>
    <w:tr w:rsidR="00AE54C1" w:rsidTr="002F660E">
      <w:trPr>
        <w:trHeight w:val="366"/>
      </w:trPr>
      <w:tc>
        <w:tcPr>
          <w:tcW w:w="3166" w:type="dxa"/>
          <w:tcBorders>
            <w:top w:val="nil"/>
            <w:left w:val="nil"/>
            <w:bottom w:val="nil"/>
            <w:right w:val="nil"/>
          </w:tcBorders>
          <w:vAlign w:val="bottom"/>
          <w:hideMark/>
        </w:tcPr>
        <w:p w:rsidR="006B3CDE" w:rsidRDefault="007C66F1" w:rsidP="006B3CDE">
          <w:pPr>
            <w:pStyle w:val="a5"/>
            <w:jc w:val="center"/>
            <w:rPr>
              <w:sz w:val="20"/>
              <w:lang w:val="en-US"/>
            </w:rPr>
          </w:pPr>
          <w:r>
            <w:rPr>
              <w:sz w:val="20"/>
              <w:lang w:val="en-US"/>
            </w:rPr>
            <w:t>0114550-Уч-2026 (10.1)</w:t>
          </w:r>
        </w:p>
      </w:tc>
    </w:tr>
    <w:tr w:rsidR="00AE54C1" w:rsidTr="002F660E">
      <w:trPr>
        <w:trHeight w:val="937"/>
      </w:trPr>
      <w:tc>
        <w:tcPr>
          <w:tcW w:w="3166" w:type="dxa"/>
          <w:tcBorders>
            <w:top w:val="nil"/>
            <w:left w:val="nil"/>
            <w:bottom w:val="nil"/>
            <w:right w:val="nil"/>
          </w:tcBorders>
          <w:hideMark/>
        </w:tcPr>
        <w:p w:rsidR="006B3CDE" w:rsidRDefault="007C66F1" w:rsidP="006B3CDE">
          <w:pPr>
            <w:pStyle w:val="a5"/>
          </w:pPr>
          <w:r>
            <w:rPr>
              <w:noProof/>
            </w:rPr>
            <w:drawing>
              <wp:anchor distT="0" distB="0" distL="0" distR="0" simplePos="0" relativeHeight="251658240" behindDoc="0" locked="0" layoutInCell="1" allowOverlap="1">
                <wp:simplePos x="0" y="0"/>
                <wp:positionH relativeFrom="page">
                  <wp:posOffset>72390</wp:posOffset>
                </wp:positionH>
                <wp:positionV relativeFrom="page">
                  <wp:posOffset>14605</wp:posOffset>
                </wp:positionV>
                <wp:extent cx="1905000" cy="476250"/>
                <wp:effectExtent l="0" t="0" r="635" b="8255"/>
                <wp:wrapNone/>
                <wp:docPr id="6" name="Text Box 2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6" name="Image"/>
                        <pic:cNvPicPr/>
                      </pic:nvPicPr>
                      <pic:blipFill>
                        <a:blip r:embed="rId1" cstate="print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905000" cy="4762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  <a:effectLst/>
                      </pic:spPr>
                    </pic:pic>
                  </a:graphicData>
                </a:graphic>
              </wp:anchor>
            </w:drawing>
          </w:r>
        </w:p>
      </w:tc>
    </w:tr>
  </w:tbl>
  <w:p w:rsidR="00A63C78" w:rsidRDefault="00A63C78">
    <w:pPr>
      <w:pStyle w:val="a5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Style w:val="a8"/>
      <w:tblpPr w:leftFromText="181" w:rightFromText="181" w:vertAnchor="text" w:horzAnchor="margin" w:tblpXSpec="right" w:tblpY="1"/>
      <w:tblOverlap w:val="never"/>
      <w:tblW w:w="0" w:type="auto"/>
      <w:tblLook w:val="04A0" w:firstRow="1" w:lastRow="0" w:firstColumn="1" w:lastColumn="0" w:noHBand="0" w:noVBand="1"/>
    </w:tblPr>
    <w:tblGrid>
      <w:gridCol w:w="3166"/>
    </w:tblGrid>
    <w:tr w:rsidR="00AE54C1" w:rsidTr="003C3B7D">
      <w:trPr>
        <w:trHeight w:val="366"/>
      </w:trPr>
      <w:tc>
        <w:tcPr>
          <w:tcW w:w="3166" w:type="dxa"/>
          <w:tcBorders>
            <w:top w:val="nil"/>
            <w:left w:val="nil"/>
            <w:bottom w:val="nil"/>
            <w:right w:val="nil"/>
          </w:tcBorders>
          <w:vAlign w:val="bottom"/>
          <w:hideMark/>
        </w:tcPr>
        <w:p w:rsidR="00802F2D" w:rsidRDefault="007C66F1" w:rsidP="003C3B7D">
          <w:pPr>
            <w:pStyle w:val="a5"/>
            <w:jc w:val="center"/>
            <w:rPr>
              <w:sz w:val="20"/>
              <w:lang w:val="en-US"/>
            </w:rPr>
          </w:pPr>
          <w:r>
            <w:rPr>
              <w:sz w:val="20"/>
              <w:lang w:val="en-US"/>
            </w:rPr>
            <w:t>0114550-Уч-2026 (10.1)</w:t>
          </w:r>
        </w:p>
      </w:tc>
    </w:tr>
    <w:tr w:rsidR="00AE54C1" w:rsidTr="003C3B7D">
      <w:trPr>
        <w:trHeight w:val="937"/>
      </w:trPr>
      <w:tc>
        <w:tcPr>
          <w:tcW w:w="3166" w:type="dxa"/>
          <w:tcBorders>
            <w:top w:val="nil"/>
            <w:left w:val="nil"/>
            <w:bottom w:val="nil"/>
            <w:right w:val="nil"/>
          </w:tcBorders>
          <w:hideMark/>
        </w:tcPr>
        <w:p w:rsidR="00802F2D" w:rsidRDefault="007C66F1" w:rsidP="003C3B7D">
          <w:pPr>
            <w:pStyle w:val="a5"/>
          </w:pPr>
          <w:r>
            <w:rPr>
              <w:noProof/>
            </w:rPr>
            <w:drawing>
              <wp:anchor distT="0" distB="0" distL="0" distR="0" simplePos="0" relativeHeight="251659264" behindDoc="0" locked="0" layoutInCell="1" allowOverlap="1">
                <wp:simplePos x="0" y="0"/>
                <wp:positionH relativeFrom="page">
                  <wp:posOffset>72390</wp:posOffset>
                </wp:positionH>
                <wp:positionV relativeFrom="page">
                  <wp:posOffset>14605</wp:posOffset>
                </wp:positionV>
                <wp:extent cx="1905000" cy="476250"/>
                <wp:effectExtent l="0" t="0" r="635" b="8255"/>
                <wp:wrapNone/>
                <wp:docPr id="3" name="Text Box 2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" name="Image"/>
                        <pic:cNvPicPr/>
                      </pic:nvPicPr>
                      <pic:blipFill>
                        <a:blip r:embed="rId1" cstate="print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905000" cy="4762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  <a:effectLst/>
                      </pic:spPr>
                    </pic:pic>
                  </a:graphicData>
                </a:graphic>
              </wp:anchor>
            </w:drawing>
          </w:r>
        </w:p>
      </w:tc>
    </w:tr>
  </w:tbl>
  <w:p w:rsidR="00802F2D" w:rsidRDefault="00802F2D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73D0B" w:rsidRDefault="00C73D0B">
      <w:pPr>
        <w:spacing w:line="240" w:lineRule="auto"/>
      </w:pPr>
      <w:r>
        <w:separator/>
      </w:r>
    </w:p>
  </w:footnote>
  <w:footnote w:type="continuationSeparator" w:id="0">
    <w:p w:rsidR="00C73D0B" w:rsidRDefault="00C73D0B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E2468" w:rsidRDefault="007C66F1" w:rsidP="009E2468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 w:rsidR="00682B02">
      <w:rPr>
        <w:rStyle w:val="a7"/>
        <w:noProof/>
      </w:rPr>
      <w:t>2</w:t>
    </w:r>
    <w:r>
      <w:rPr>
        <w:rStyle w:val="a7"/>
      </w:rPr>
      <w:fldChar w:fldCharType="end"/>
    </w:r>
  </w:p>
  <w:p w:rsidR="006B54EE" w:rsidRPr="009E2468" w:rsidRDefault="006B54EE" w:rsidP="009E2468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cumentProtection w:edit="comments" w:enforcement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655A6"/>
    <w:rsid w:val="00041F37"/>
    <w:rsid w:val="00112200"/>
    <w:rsid w:val="0015701F"/>
    <w:rsid w:val="00250997"/>
    <w:rsid w:val="003372B3"/>
    <w:rsid w:val="003475C3"/>
    <w:rsid w:val="003C3B7D"/>
    <w:rsid w:val="003F4514"/>
    <w:rsid w:val="004A75E5"/>
    <w:rsid w:val="004B3CE4"/>
    <w:rsid w:val="006323F3"/>
    <w:rsid w:val="00642694"/>
    <w:rsid w:val="00646649"/>
    <w:rsid w:val="006811FF"/>
    <w:rsid w:val="00682B02"/>
    <w:rsid w:val="00690DAC"/>
    <w:rsid w:val="006B3CDE"/>
    <w:rsid w:val="006B54EE"/>
    <w:rsid w:val="007C66F1"/>
    <w:rsid w:val="00802F2D"/>
    <w:rsid w:val="008114AC"/>
    <w:rsid w:val="00832A5D"/>
    <w:rsid w:val="009E2468"/>
    <w:rsid w:val="00A055C6"/>
    <w:rsid w:val="00A603BD"/>
    <w:rsid w:val="00A63C78"/>
    <w:rsid w:val="00A97EEE"/>
    <w:rsid w:val="00AA7EEC"/>
    <w:rsid w:val="00AB4C1F"/>
    <w:rsid w:val="00AE54C1"/>
    <w:rsid w:val="00AF7439"/>
    <w:rsid w:val="00B37DF3"/>
    <w:rsid w:val="00C23295"/>
    <w:rsid w:val="00C4124A"/>
    <w:rsid w:val="00C73D0B"/>
    <w:rsid w:val="00D655A6"/>
    <w:rsid w:val="00DE3D57"/>
    <w:rsid w:val="00F30642"/>
    <w:rsid w:val="00FA1CE5"/>
    <w:rsid w:val="00FF1E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B4C1F"/>
    <w:pPr>
      <w:spacing w:after="0" w:line="360" w:lineRule="atLeast"/>
      <w:jc w:val="both"/>
    </w:pPr>
    <w:rPr>
      <w:rFonts w:ascii="Times New Roman CYR" w:eastAsia="Times New Roman" w:hAnsi="Times New Roman CYR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AB4C1F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AB4C1F"/>
    <w:rPr>
      <w:rFonts w:ascii="Times New Roman CYR" w:eastAsia="Times New Roman" w:hAnsi="Times New Roman CYR" w:cs="Times New Roman"/>
      <w:sz w:val="28"/>
      <w:szCs w:val="20"/>
      <w:lang w:eastAsia="ru-RU"/>
    </w:rPr>
  </w:style>
  <w:style w:type="paragraph" w:styleId="a5">
    <w:name w:val="footer"/>
    <w:basedOn w:val="a"/>
    <w:link w:val="a6"/>
    <w:rsid w:val="00AB4C1F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basedOn w:val="a0"/>
    <w:link w:val="a5"/>
    <w:rsid w:val="00AB4C1F"/>
    <w:rPr>
      <w:rFonts w:ascii="Times New Roman CYR" w:eastAsia="Times New Roman" w:hAnsi="Times New Roman CYR" w:cs="Times New Roman"/>
      <w:sz w:val="28"/>
      <w:szCs w:val="20"/>
      <w:lang w:eastAsia="ru-RU"/>
    </w:rPr>
  </w:style>
  <w:style w:type="character" w:styleId="a7">
    <w:name w:val="page number"/>
    <w:basedOn w:val="a0"/>
    <w:uiPriority w:val="99"/>
    <w:rsid w:val="00AB4C1F"/>
  </w:style>
  <w:style w:type="table" w:styleId="a8">
    <w:name w:val="Table Grid"/>
    <w:basedOn w:val="a1"/>
    <w:rsid w:val="00AB4C1F"/>
    <w:pPr>
      <w:spacing w:after="0" w:line="360" w:lineRule="atLeast"/>
      <w:jc w:val="both"/>
    </w:pPr>
    <w:rPr>
      <w:rFonts w:ascii="Times New Roman CYR" w:eastAsia="Times New Roman" w:hAnsi="Times New Roman CYR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9">
    <w:name w:val="Наименование вида документа"/>
    <w:qFormat/>
    <w:rsid w:val="00AB4C1F"/>
    <w:pPr>
      <w:spacing w:before="480" w:after="0" w:line="259" w:lineRule="auto"/>
      <w:jc w:val="center"/>
    </w:pPr>
    <w:rPr>
      <w:rFonts w:ascii="Times New Roman" w:hAnsi="Times New Roman" w:cs="Times New Roman"/>
      <w:sz w:val="28"/>
      <w:szCs w:val="28"/>
    </w:rPr>
  </w:style>
  <w:style w:type="paragraph" w:customStyle="1" w:styleId="aa">
    <w:name w:val="Заголовок ФЗ"/>
    <w:qFormat/>
    <w:rsid w:val="00AB4C1F"/>
    <w:pPr>
      <w:spacing w:before="480" w:after="0" w:line="240" w:lineRule="auto"/>
      <w:jc w:val="center"/>
    </w:pPr>
    <w:rPr>
      <w:rFonts w:ascii="Times New Roman Полужирный" w:hAnsi="Times New Roman Полужирный" w:cs="Times New Roman"/>
      <w:b/>
      <w:sz w:val="28"/>
      <w:szCs w:val="28"/>
    </w:rPr>
  </w:style>
  <w:style w:type="paragraph" w:customStyle="1" w:styleId="Default">
    <w:name w:val="Default"/>
    <w:rsid w:val="00C2329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B4C1F"/>
    <w:pPr>
      <w:spacing w:after="0" w:line="360" w:lineRule="atLeast"/>
      <w:jc w:val="both"/>
    </w:pPr>
    <w:rPr>
      <w:rFonts w:ascii="Times New Roman CYR" w:eastAsia="Times New Roman" w:hAnsi="Times New Roman CYR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AB4C1F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AB4C1F"/>
    <w:rPr>
      <w:rFonts w:ascii="Times New Roman CYR" w:eastAsia="Times New Roman" w:hAnsi="Times New Roman CYR" w:cs="Times New Roman"/>
      <w:sz w:val="28"/>
      <w:szCs w:val="20"/>
      <w:lang w:eastAsia="ru-RU"/>
    </w:rPr>
  </w:style>
  <w:style w:type="paragraph" w:styleId="a5">
    <w:name w:val="footer"/>
    <w:basedOn w:val="a"/>
    <w:link w:val="a6"/>
    <w:rsid w:val="00AB4C1F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basedOn w:val="a0"/>
    <w:link w:val="a5"/>
    <w:rsid w:val="00AB4C1F"/>
    <w:rPr>
      <w:rFonts w:ascii="Times New Roman CYR" w:eastAsia="Times New Roman" w:hAnsi="Times New Roman CYR" w:cs="Times New Roman"/>
      <w:sz w:val="28"/>
      <w:szCs w:val="20"/>
      <w:lang w:eastAsia="ru-RU"/>
    </w:rPr>
  </w:style>
  <w:style w:type="character" w:styleId="a7">
    <w:name w:val="page number"/>
    <w:basedOn w:val="a0"/>
    <w:uiPriority w:val="99"/>
    <w:rsid w:val="00AB4C1F"/>
  </w:style>
  <w:style w:type="table" w:styleId="a8">
    <w:name w:val="Table Grid"/>
    <w:basedOn w:val="a1"/>
    <w:rsid w:val="00AB4C1F"/>
    <w:pPr>
      <w:spacing w:after="0" w:line="360" w:lineRule="atLeast"/>
      <w:jc w:val="both"/>
    </w:pPr>
    <w:rPr>
      <w:rFonts w:ascii="Times New Roman CYR" w:eastAsia="Times New Roman" w:hAnsi="Times New Roman CYR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9">
    <w:name w:val="Наименование вида документа"/>
    <w:qFormat/>
    <w:rsid w:val="00AB4C1F"/>
    <w:pPr>
      <w:spacing w:before="480" w:after="0" w:line="259" w:lineRule="auto"/>
      <w:jc w:val="center"/>
    </w:pPr>
    <w:rPr>
      <w:rFonts w:ascii="Times New Roman" w:hAnsi="Times New Roman" w:cs="Times New Roman"/>
      <w:sz w:val="28"/>
      <w:szCs w:val="28"/>
    </w:rPr>
  </w:style>
  <w:style w:type="paragraph" w:customStyle="1" w:styleId="aa">
    <w:name w:val="Заголовок ФЗ"/>
    <w:qFormat/>
    <w:rsid w:val="00AB4C1F"/>
    <w:pPr>
      <w:spacing w:before="480" w:after="0" w:line="240" w:lineRule="auto"/>
      <w:jc w:val="center"/>
    </w:pPr>
    <w:rPr>
      <w:rFonts w:ascii="Times New Roman Полужирный" w:hAnsi="Times New Roman Полужирный" w:cs="Times New Roman"/>
      <w:b/>
      <w:sz w:val="28"/>
      <w:szCs w:val="28"/>
    </w:rPr>
  </w:style>
  <w:style w:type="paragraph" w:customStyle="1" w:styleId="Default">
    <w:name w:val="Default"/>
    <w:rsid w:val="00C2329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FF6DD51-1339-45B2-834C-4414BCA3A7C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1</Pages>
  <Words>308</Words>
  <Characters>1759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Захаркин Владислав Владимирович</dc:creator>
  <cp:lastModifiedBy>Пояркова Н.Н.</cp:lastModifiedBy>
  <cp:revision>21</cp:revision>
  <dcterms:created xsi:type="dcterms:W3CDTF">2022-12-14T20:20:00Z</dcterms:created>
  <dcterms:modified xsi:type="dcterms:W3CDTF">2026-03-30T12:50:00Z</dcterms:modified>
</cp:coreProperties>
</file>