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5" w14:textId="77777777" w:rsidR="00C567A6" w:rsidRDefault="00000000">
      <w:pPr>
        <w:jc w:val="center"/>
        <w:rPr>
          <w:b/>
        </w:rPr>
      </w:pPr>
      <w:r>
        <w:rPr>
          <w:b/>
        </w:rPr>
        <w:t>ПОЯСНИТЕЛЬНАЯ ЗАПИСКА</w:t>
      </w:r>
    </w:p>
    <w:p w14:paraId="00000006" w14:textId="05596C37" w:rsidR="00C567A6" w:rsidRPr="00E234D6" w:rsidRDefault="00000000" w:rsidP="00E234D6">
      <w:pPr>
        <w:jc w:val="center"/>
        <w:rPr>
          <w:b/>
          <w:bCs/>
          <w:szCs w:val="28"/>
        </w:rPr>
      </w:pPr>
      <w:r>
        <w:rPr>
          <w:b/>
          <w:szCs w:val="28"/>
        </w:rPr>
        <w:t>к проекту федерального закона</w:t>
      </w:r>
      <w:r>
        <w:rPr>
          <w:b/>
          <w:bCs/>
          <w:szCs w:val="28"/>
        </w:rPr>
        <w:t xml:space="preserve"> «</w:t>
      </w:r>
      <w:r w:rsidR="00E234D6" w:rsidRPr="00E234D6">
        <w:rPr>
          <w:b/>
          <w:bCs/>
          <w:szCs w:val="28"/>
        </w:rPr>
        <w:t>О внесении изменений в статью 5.27 Кодекса Российской Федерации об административных правонарушениях</w:t>
      </w:r>
      <w:r>
        <w:rPr>
          <w:b/>
          <w:bCs/>
          <w:szCs w:val="28"/>
        </w:rPr>
        <w:t>»</w:t>
      </w:r>
    </w:p>
    <w:p w14:paraId="00000007" w14:textId="77777777" w:rsidR="00C567A6" w:rsidRDefault="00C567A6">
      <w:pPr>
        <w:pStyle w:val="a0"/>
        <w:ind w:firstLine="680"/>
        <w:jc w:val="both"/>
      </w:pPr>
    </w:p>
    <w:p w14:paraId="00000008" w14:textId="77777777" w:rsidR="00C567A6" w:rsidRDefault="00000000">
      <w:pPr>
        <w:pStyle w:val="a0"/>
        <w:spacing w:line="360" w:lineRule="auto"/>
        <w:ind w:firstLine="680"/>
        <w:jc w:val="both"/>
      </w:pPr>
      <w:r>
        <w:t>Представляемый проект федерального закона направлен на совершенствование механизмов административной ответственности за нарушения трудового законодательства и обусловлен необходимостью усиления защиты трудовых прав граждан. Вопрос соблюдения трудового законодательства является приоритетным направлением государственной политики в сфере защиты прав граждан, поскольку статья 37 Конституции Российской Федерации гарантирует право на труд в условиях, отвечающих требованиям безопасности и гигиены, а также право на вознаграждение за труд без какой-либо дискриминации.</w:t>
      </w:r>
    </w:p>
    <w:p w14:paraId="00000009" w14:textId="77777777" w:rsidR="00C567A6" w:rsidRDefault="00000000">
      <w:pPr>
        <w:pStyle w:val="a0"/>
        <w:spacing w:line="360" w:lineRule="auto"/>
        <w:ind w:firstLine="680"/>
        <w:jc w:val="both"/>
      </w:pPr>
      <w:r>
        <w:t>В рамках мониторинга правоприменительной практики и во исполнение поручений Комитета Государственной Думы по труду, социальной политике и делам ветеранов был направлен запрос в Федеральную службу по труду и занятости о предоставлении актуальных сведений о состоянии законности в сфере трудовых отношений. Согласно полученному ответу Роструда от 2 декабря 2025 года № 1406-ПР, которым была предоставлена официальная статистика ведомства за период с 2022 по 2024 годы включительно, количество вынесенных должностными лицами территориальных органов Роструда постановлений о назначении административного наказания по статье 5.27 Кодекса Российской Федерации об административных правонарушениях остаётся стабильно высоким. Так, в 2022 году было вынесено 38 631 постановление, в 2023 году – 26 738 постановлений, а в 2024 году – 27 237 постановлений. Представленные данные свидетельствуют о том, что, несмотря на проводимую реформу контрольно-надзорной деятельности, включая механизмы «регуляторной гильотины», статистика правонарушений в сфере труда не демонстрирует устойчивой тенденции к снижению.</w:t>
      </w:r>
    </w:p>
    <w:p w14:paraId="0000000A" w14:textId="77777777" w:rsidR="00C567A6" w:rsidRDefault="00000000">
      <w:pPr>
        <w:pStyle w:val="a0"/>
        <w:spacing w:line="360" w:lineRule="auto"/>
        <w:ind w:firstLine="680"/>
        <w:jc w:val="both"/>
      </w:pPr>
      <w:r>
        <w:lastRenderedPageBreak/>
        <w:t>Особую тревогу в сложившейся ситуации вызывают повторные нарушения, совершаемые субъектами, которые уже были подвергнуты административному наказанию. Наличие рецидива правонарушений свидетельствует о том, что действующие санкции не обладают достаточным сдерживающим эффектом и воспринимаются недобросовестными работодателями как допустимые операционные расходы. Анализ правоприменительной практики показывает, что повторность правонарушения зачастую свидетельствует об умышленном пренебрежении требованиями закона, а также о неэффективности первичной профилактической меры воздействия. На сегодняшний день максимальный штраф для юридических лиц за повторное нарушение, предусмотренный частью 2 статьи 5.27 Кодекса, составляет 70 000 рублей. Для средних и крупных предприятий данная сумма является несоразмерной той экономической выгоде, которую они получают, систематически уклоняясь от исполнения обязанностей перед работниками. В первую очередь это касается случаев несвоевременной выплаты заработной платы, которая может затрагивать сотни сотрудников, а также ситуаций, связанных с отсутствием обязательных средств индивидуальной защиты, что создаёт прямую угрозу жизни и здоровью работников.</w:t>
      </w:r>
    </w:p>
    <w:p w14:paraId="0000000B" w14:textId="77777777" w:rsidR="00C567A6" w:rsidRDefault="00000000">
      <w:pPr>
        <w:pStyle w:val="a0"/>
        <w:spacing w:line="360" w:lineRule="auto"/>
        <w:ind w:firstLine="680"/>
        <w:jc w:val="both"/>
      </w:pPr>
      <w:r>
        <w:t xml:space="preserve">Несмотря на то, что указанные деяния образуют самостоятельные составы административных правонарушений, ответственность за которые установлена частями 6 и 7 статьи 5.27 и частью 5 статьи 5.27.1 Кодекса Российской Федерации об административных правонарушениях, общий правовой принцип, заложенный в конструкцию части 2 статьи 5.27, предполагает усиление ответственности именно за повторность совершения однородных нарушений. В связи с этим назрела необходимость комплексного подхода к повышению штрафных санкций, который затронет как общий состав за повторные нарушения, так и специальные составы, непосредственно связанные с оплатой труда и охраной здоровья работников. Предлагаемое двукратное увеличение размеров административных штрафов </w:t>
      </w:r>
      <w:r>
        <w:lastRenderedPageBreak/>
        <w:t>призвано обеспечить реальное превентивное воздействие и мотивировать работодателей к инвестициям в систему охраны труда и соблюдению сроков выплаты заработной платы. Усиление ответственности за повторные нарушения, касающиеся задержек выплат, нарушения режима отдыха и незаконных увольнений, напрямую будет способствовать укреплению социальной стабильности и повышению доверия граждан к институтам государственной защиты.</w:t>
      </w:r>
    </w:p>
    <w:p w14:paraId="0000000C" w14:textId="77777777" w:rsidR="00C567A6" w:rsidRDefault="00000000">
      <w:pPr>
        <w:pStyle w:val="a0"/>
        <w:spacing w:line="360" w:lineRule="auto"/>
        <w:ind w:firstLine="680"/>
        <w:jc w:val="both"/>
      </w:pPr>
      <w:r>
        <w:t>Важно отметить, что предлагаемые изменения не затрагивают такой вид наказания, как дисквалификация, которая сохраняется в качестве альтернативной и наиболее строгой меры ответственности для должностных лиц, допустивших грубые или систематические нарушения. Принятие законопроекта позволит минимизировать количество случаев систематического нарушения трудовых прав, будет способствовать повышению уровня правовой культуры среди работодателей, а также снизит нагрузку на инспекции труда и судебную систему за счёт сокращения количества повторных жалоб от работников одних и тех же предприятий. Финансово-экономическое обоснование показывает, что реализация законопроекта не потребует дополнительных расходов из бюджетов бюджетной системы Российской Федерации.</w:t>
      </w:r>
    </w:p>
    <w:sectPr w:rsidR="00C567A6">
      <w:headerReference w:type="default" r:id="rId8"/>
      <w:pgSz w:w="11906" w:h="16838"/>
      <w:pgMar w:top="1134" w:right="850" w:bottom="1134" w:left="1701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45748" w14:textId="77777777" w:rsidR="00147112" w:rsidRDefault="00147112">
      <w:pPr>
        <w:spacing w:after="0" w:line="240" w:lineRule="auto"/>
      </w:pPr>
      <w:r>
        <w:separator/>
      </w:r>
    </w:p>
  </w:endnote>
  <w:endnote w:type="continuationSeparator" w:id="0">
    <w:p w14:paraId="3A36D8CD" w14:textId="77777777" w:rsidR="00147112" w:rsidRDefault="00147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1C104" w14:textId="77777777" w:rsidR="00147112" w:rsidRDefault="00147112">
      <w:pPr>
        <w:spacing w:after="0" w:line="240" w:lineRule="auto"/>
      </w:pPr>
      <w:r>
        <w:separator/>
      </w:r>
    </w:p>
  </w:footnote>
  <w:footnote w:type="continuationSeparator" w:id="0">
    <w:p w14:paraId="1816E7B7" w14:textId="77777777" w:rsidR="00147112" w:rsidRDefault="00147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D" w14:textId="77777777" w:rsidR="00C567A6" w:rsidRDefault="00000000">
    <w:pPr>
      <w:pStyle w:val="afc"/>
      <w:jc w:val="center"/>
    </w:pPr>
    <w:r>
      <w:fldChar w:fldCharType="begin"/>
    </w:r>
    <w:r>
      <w:instrText>PAGE   \* MERGEFORMAT</w:instrText>
    </w:r>
    <w:r>
      <w:fldChar w:fldCharType="separate"/>
    </w:r>
    <w:r>
      <w:t>3</w:t>
    </w:r>
    <w:r>
      <w:fldChar w:fldCharType="end"/>
    </w:r>
  </w:p>
  <w:p w14:paraId="0000000E" w14:textId="77777777" w:rsidR="00C567A6" w:rsidRDefault="00C567A6">
    <w:pPr>
      <w:pStyle w:val="a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7533"/>
    <w:multiLevelType w:val="hybridMultilevel"/>
    <w:tmpl w:val="DC507AB0"/>
    <w:lvl w:ilvl="0" w:tplc="2C621E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7EA3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0EB7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56E1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728A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AC56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B42F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649B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5C5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62248"/>
    <w:multiLevelType w:val="multilevel"/>
    <w:tmpl w:val="9D544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871B1C"/>
    <w:multiLevelType w:val="multilevel"/>
    <w:tmpl w:val="F9F27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211E37"/>
    <w:multiLevelType w:val="multilevel"/>
    <w:tmpl w:val="944A8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5924527">
    <w:abstractNumId w:val="0"/>
  </w:num>
  <w:num w:numId="2" w16cid:durableId="448160919">
    <w:abstractNumId w:val="3"/>
  </w:num>
  <w:num w:numId="3" w16cid:durableId="1580752612">
    <w:abstractNumId w:val="2"/>
  </w:num>
  <w:num w:numId="4" w16cid:durableId="1316641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1280"/>
    <w:rsid w:val="000317B7"/>
    <w:rsid w:val="00036740"/>
    <w:rsid w:val="00037DC9"/>
    <w:rsid w:val="00051A25"/>
    <w:rsid w:val="0008534D"/>
    <w:rsid w:val="00111E98"/>
    <w:rsid w:val="001301A2"/>
    <w:rsid w:val="00147112"/>
    <w:rsid w:val="001833B1"/>
    <w:rsid w:val="00183DD3"/>
    <w:rsid w:val="00184587"/>
    <w:rsid w:val="001858B3"/>
    <w:rsid w:val="001B054E"/>
    <w:rsid w:val="001E6146"/>
    <w:rsid w:val="00211688"/>
    <w:rsid w:val="00224746"/>
    <w:rsid w:val="002255D6"/>
    <w:rsid w:val="002348C7"/>
    <w:rsid w:val="002372A9"/>
    <w:rsid w:val="00252383"/>
    <w:rsid w:val="00252F3B"/>
    <w:rsid w:val="00253DFA"/>
    <w:rsid w:val="002B7B1F"/>
    <w:rsid w:val="003201DA"/>
    <w:rsid w:val="00341F80"/>
    <w:rsid w:val="00361744"/>
    <w:rsid w:val="00381863"/>
    <w:rsid w:val="003A4E8C"/>
    <w:rsid w:val="003E0CCB"/>
    <w:rsid w:val="004247A0"/>
    <w:rsid w:val="00440E34"/>
    <w:rsid w:val="00452977"/>
    <w:rsid w:val="00471731"/>
    <w:rsid w:val="00494E2A"/>
    <w:rsid w:val="004D2DF5"/>
    <w:rsid w:val="004E7E2F"/>
    <w:rsid w:val="005041C6"/>
    <w:rsid w:val="00521139"/>
    <w:rsid w:val="00532353"/>
    <w:rsid w:val="00534BEC"/>
    <w:rsid w:val="005A17D6"/>
    <w:rsid w:val="005D7ACF"/>
    <w:rsid w:val="005E4B8A"/>
    <w:rsid w:val="005F0679"/>
    <w:rsid w:val="00636D3B"/>
    <w:rsid w:val="00691525"/>
    <w:rsid w:val="00697EA0"/>
    <w:rsid w:val="006A57DA"/>
    <w:rsid w:val="006B3900"/>
    <w:rsid w:val="006F6AD6"/>
    <w:rsid w:val="00715CD8"/>
    <w:rsid w:val="00734162"/>
    <w:rsid w:val="0075610F"/>
    <w:rsid w:val="00776D26"/>
    <w:rsid w:val="00790651"/>
    <w:rsid w:val="007A4201"/>
    <w:rsid w:val="007E5482"/>
    <w:rsid w:val="007F181F"/>
    <w:rsid w:val="008448E6"/>
    <w:rsid w:val="0088522F"/>
    <w:rsid w:val="008E01F6"/>
    <w:rsid w:val="008E3599"/>
    <w:rsid w:val="008E722E"/>
    <w:rsid w:val="008F7D5C"/>
    <w:rsid w:val="00910BEC"/>
    <w:rsid w:val="00933132"/>
    <w:rsid w:val="0094266F"/>
    <w:rsid w:val="00993A26"/>
    <w:rsid w:val="00996BE1"/>
    <w:rsid w:val="00A45A3C"/>
    <w:rsid w:val="00A51280"/>
    <w:rsid w:val="00A654F6"/>
    <w:rsid w:val="00A67E58"/>
    <w:rsid w:val="00A96F31"/>
    <w:rsid w:val="00AC4C52"/>
    <w:rsid w:val="00AD1A63"/>
    <w:rsid w:val="00AF3AAD"/>
    <w:rsid w:val="00B02C85"/>
    <w:rsid w:val="00B25B89"/>
    <w:rsid w:val="00B477D3"/>
    <w:rsid w:val="00B57185"/>
    <w:rsid w:val="00B64C70"/>
    <w:rsid w:val="00B8266C"/>
    <w:rsid w:val="00B844A6"/>
    <w:rsid w:val="00B931B9"/>
    <w:rsid w:val="00BA0BB0"/>
    <w:rsid w:val="00BD3434"/>
    <w:rsid w:val="00C3177C"/>
    <w:rsid w:val="00C567A6"/>
    <w:rsid w:val="00C771A2"/>
    <w:rsid w:val="00C8665A"/>
    <w:rsid w:val="00C911E1"/>
    <w:rsid w:val="00C95D74"/>
    <w:rsid w:val="00CB2157"/>
    <w:rsid w:val="00CB4865"/>
    <w:rsid w:val="00CC765B"/>
    <w:rsid w:val="00CF5940"/>
    <w:rsid w:val="00D04D1F"/>
    <w:rsid w:val="00D124DF"/>
    <w:rsid w:val="00D2548A"/>
    <w:rsid w:val="00D37DEF"/>
    <w:rsid w:val="00D434E0"/>
    <w:rsid w:val="00D613AD"/>
    <w:rsid w:val="00D67069"/>
    <w:rsid w:val="00D73B75"/>
    <w:rsid w:val="00D77F33"/>
    <w:rsid w:val="00D97C11"/>
    <w:rsid w:val="00DA1202"/>
    <w:rsid w:val="00DC00BC"/>
    <w:rsid w:val="00DD5BC4"/>
    <w:rsid w:val="00DE50EB"/>
    <w:rsid w:val="00E07963"/>
    <w:rsid w:val="00E234D6"/>
    <w:rsid w:val="00E3246C"/>
    <w:rsid w:val="00E605F1"/>
    <w:rsid w:val="00E750D7"/>
    <w:rsid w:val="00EA55A9"/>
    <w:rsid w:val="00EA74B4"/>
    <w:rsid w:val="00EA7645"/>
    <w:rsid w:val="00ED175B"/>
    <w:rsid w:val="00EF17D0"/>
    <w:rsid w:val="00F30C1F"/>
    <w:rsid w:val="00F401ED"/>
    <w:rsid w:val="00F5335D"/>
    <w:rsid w:val="00F661A6"/>
    <w:rsid w:val="00F708F5"/>
    <w:rsid w:val="00F95BBC"/>
    <w:rsid w:val="00FA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EA1D8"/>
  <w15:docId w15:val="{311F84C6-3A8B-E045-82D8-2999F4031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spacing w:after="160" w:line="259" w:lineRule="auto"/>
    </w:pPr>
    <w:rPr>
      <w:rFonts w:ascii="Times New Roman" w:hAnsi="Times New Roman" w:cstheme="minorBidi"/>
      <w:szCs w:val="22"/>
    </w:rPr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eastAsiaTheme="majorEastAsia"/>
      <w:b/>
      <w:bCs/>
      <w:color w:val="365F91" w:themeColor="accent1" w:themeShade="BF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eastAsiaTheme="majorEastAsia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semiHidden/>
    <w:unhideWhenUsed/>
    <w:qFormat/>
    <w:pPr>
      <w:spacing w:before="100" w:after="100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eastAsiaTheme="majorEastAsia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eastAsiaTheme="majorEastAsia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eastAsiaTheme="majorEastAsia"/>
      <w:color w:val="404040" w:themeColor="text1" w:themeTint="BF"/>
      <w:sz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eastAsiaTheme="majorEastAsia"/>
      <w:i/>
      <w:iCs/>
      <w:color w:val="404040" w:themeColor="text1" w:themeTint="BF"/>
      <w:sz w:val="2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eastAsiaTheme="majorEastAsia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footnote text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a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0">
    <w:name w:val="No Spacing"/>
    <w:uiPriority w:val="1"/>
    <w:qFormat/>
    <w:pPr>
      <w:spacing w:after="0" w:line="240" w:lineRule="auto"/>
    </w:pPr>
    <w:rPr>
      <w:rFonts w:ascii="Times New Roman" w:hAnsi="Times New Roman" w:cstheme="minorBidi"/>
      <w:szCs w:val="22"/>
    </w:rPr>
  </w:style>
  <w:style w:type="character" w:styleId="afb">
    <w:name w:val="Hyperlink"/>
    <w:basedOn w:val="a1"/>
    <w:uiPriority w:val="99"/>
    <w:unhideWhenUsed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1"/>
    <w:uiPriority w:val="99"/>
    <w:semiHidden/>
    <w:unhideWhenUsed/>
    <w:rPr>
      <w:color w:val="605E5C"/>
      <w:shd w:val="clear" w:color="auto" w:fill="E1DFDD"/>
    </w:rPr>
  </w:style>
  <w:style w:type="paragraph" w:styleId="23">
    <w:name w:val="Body Text 2"/>
    <w:basedOn w:val="a"/>
    <w:link w:val="24"/>
    <w:uiPriority w:val="99"/>
    <w:semiHidden/>
    <w:unhideWhenUsed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uiPriority w:val="99"/>
    <w:semiHidden/>
    <w:rPr>
      <w:rFonts w:ascii="Times New Roman" w:hAnsi="Times New Roman" w:cstheme="minorBidi"/>
      <w:szCs w:val="22"/>
    </w:rPr>
  </w:style>
  <w:style w:type="paragraph" w:styleId="afc">
    <w:name w:val="header"/>
    <w:basedOn w:val="a"/>
    <w:link w:val="afd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d">
    <w:name w:val="Верхний колонтитул Знак"/>
    <w:basedOn w:val="a1"/>
    <w:link w:val="afc"/>
    <w:uiPriority w:val="99"/>
    <w:rPr>
      <w:rFonts w:ascii="Times New Roman" w:hAnsi="Times New Roman" w:cstheme="minorBidi"/>
      <w:szCs w:val="22"/>
    </w:rPr>
  </w:style>
  <w:style w:type="paragraph" w:styleId="afe">
    <w:name w:val="footer"/>
    <w:basedOn w:val="a"/>
    <w:link w:val="aff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f">
    <w:name w:val="Нижний колонтитул Знак"/>
    <w:basedOn w:val="a1"/>
    <w:link w:val="afe"/>
    <w:uiPriority w:val="99"/>
    <w:rPr>
      <w:rFonts w:ascii="Times New Roman" w:hAnsi="Times New Roman" w:cstheme="minorBidi"/>
      <w:szCs w:val="22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f1">
    <w:name w:val="Normal (Web)"/>
    <w:basedOn w:val="a"/>
    <w:uiPriority w:val="99"/>
    <w:unhideWhenUsed/>
    <w:pPr>
      <w:spacing w:before="100" w:after="100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4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7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0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44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6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C8141-5421-40E4-BF7C-7C100454E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Юрий Геннадьевич</dc:creator>
  <cp:lastModifiedBy>Браславская Елизавета Сергеевна</cp:lastModifiedBy>
  <cp:revision>3</cp:revision>
  <cp:lastPrinted>2026-03-26T06:31:00Z</cp:lastPrinted>
  <dcterms:created xsi:type="dcterms:W3CDTF">2026-03-26T06:31:00Z</dcterms:created>
  <dcterms:modified xsi:type="dcterms:W3CDTF">2026-03-26T06:31:00Z</dcterms:modified>
</cp:coreProperties>
</file>