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EC9FD" w14:textId="5EC7D8FC" w:rsidR="00725303" w:rsidRPr="005031A4" w:rsidRDefault="00725303" w:rsidP="005031A4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031A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ПОЯСНИТЕЛЬНАЯ ЗАПИСКА</w:t>
      </w:r>
      <w:r w:rsidRPr="005031A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br/>
      </w:r>
      <w:r w:rsidR="00AD0ACF" w:rsidRPr="005031A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r w:rsidR="00F52E7B" w:rsidRPr="005031A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="00411A75" w:rsidRPr="00411A7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 внесении изменений в отдельные законодательные акты Российской Федерации</w:t>
      </w:r>
      <w:r w:rsidR="00F52E7B" w:rsidRPr="005031A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»</w:t>
      </w:r>
    </w:p>
    <w:p w14:paraId="43E0C668" w14:textId="77777777" w:rsidR="00CD6BA8" w:rsidRPr="00725303" w:rsidRDefault="00CD6BA8" w:rsidP="00CD6B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239A28F2" w14:textId="33DC1370" w:rsidR="0059219B" w:rsidRDefault="00725303" w:rsidP="00411A7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9F5BD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Проект федерального закона </w:t>
      </w:r>
      <w:r w:rsidR="005031A4" w:rsidRPr="005031A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«</w:t>
      </w:r>
      <w:r w:rsidR="00411A75" w:rsidRPr="00411A7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О внесении изменений в отдельные законодательные акты Российской Федерации</w:t>
      </w:r>
      <w:r w:rsidR="005031A4" w:rsidRPr="005031A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»</w:t>
      </w:r>
      <w:r w:rsidR="005031A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(далее</w:t>
      </w:r>
      <w:r w:rsidR="007017F6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соответственно</w:t>
      </w:r>
      <w:r w:rsidR="005031A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– законопроект</w:t>
      </w:r>
      <w:r w:rsidR="007017F6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, АПК РФ, ГПК РФ, КАС РФ</w:t>
      </w:r>
      <w:r w:rsidR="005031A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)</w:t>
      </w:r>
      <w:r w:rsidR="000C576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0C5769" w:rsidRPr="000C576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призван установить сроки выдачи исполнительного листа взыскателю (либо его направления на исполнение по ходатайству взыскателя)</w:t>
      </w:r>
      <w:bookmarkStart w:id="0" w:name="_GoBack"/>
      <w:bookmarkEnd w:id="0"/>
      <w:r w:rsidR="000C5769" w:rsidRPr="000C576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4F2805" w:rsidRPr="004F280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после обращения взыскателя в суд, если судебный а</w:t>
      </w:r>
      <w:proofErr w:type="gramStart"/>
      <w:r w:rsidR="004F2805" w:rsidRPr="004F280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кт вст</w:t>
      </w:r>
      <w:proofErr w:type="gramEnd"/>
      <w:r w:rsidR="004F2805" w:rsidRPr="004F280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упил в законную силу</w:t>
      </w:r>
      <w:r w:rsidR="000C5769" w:rsidRPr="000C576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030B93F0" w14:textId="07F47E53" w:rsidR="00927217" w:rsidRDefault="00927217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927217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Законопроект носит комплексный характер и направлен в том числе </w:t>
      </w:r>
      <w:r w:rsidR="0066785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927217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обеспечение единообразия подходов к определению сроков выдачи исполнительного листа в арбитражном, гражданском и административном судопроизводстве. Установление согласованного регулирования в смежных процессуальных отраслях позволит исключить необоснованные различия </w:t>
      </w:r>
      <w:r w:rsidR="0066785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927217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в порядке реализации права на исполнение судебного акта.</w:t>
      </w:r>
    </w:p>
    <w:p w14:paraId="3090BB4F" w14:textId="173F90CD" w:rsidR="00903DF3" w:rsidRDefault="00CC59C7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CC59C7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Конституция Российской Федерации гарантирует каждому судебную защиту его прав и свобод. Конституционный Суд Российской Федерации неоднократно подчеркивал, что исполнение судебного решения является неотъемлемым элементом судебной защиты и, следовательно, государство обязано выстраивать такое правовое регулирование, которое обеспечивает </w:t>
      </w:r>
      <w:r w:rsidR="00136361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CC59C7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не только вынесение судебного акта, но и его реальное и своевременное исполнение. Эта правовая позиция последовательно подтверждается </w:t>
      </w:r>
      <w:r w:rsidR="00136361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CC59C7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в актуальных актах и сообщениях Конституционного Суда Российской Федерации</w:t>
      </w:r>
      <w:r w:rsidR="001431C7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.</w:t>
      </w:r>
      <w:r w:rsidR="00AC58F7">
        <w:rPr>
          <w:rStyle w:val="af3"/>
          <w:rFonts w:ascii="Times New Roman" w:hAnsi="Times New Roman" w:cs="Times New Roman"/>
          <w:bCs/>
          <w:kern w:val="0"/>
          <w:sz w:val="28"/>
          <w:szCs w:val="28"/>
          <w14:ligatures w14:val="none"/>
        </w:rPr>
        <w:footnoteReference w:id="1"/>
      </w:r>
    </w:p>
    <w:p w14:paraId="1CEAE10F" w14:textId="069A06E2" w:rsidR="00111FCE" w:rsidRDefault="00111FCE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111FC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Исполнительный лист является процессуальным документом, который соединяет судебное решение </w:t>
      </w:r>
      <w:r w:rsidR="007717D6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со</w:t>
      </w:r>
      <w:r w:rsidRPr="00111FC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стади</w:t>
      </w:r>
      <w:r w:rsidR="007717D6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ей</w:t>
      </w:r>
      <w:r w:rsidRPr="00111FC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его реального исполнения. Именно </w:t>
      </w:r>
      <w:r w:rsidR="00136361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111FC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с момента его получения либо направления судом на исполнение взыскатель </w:t>
      </w:r>
      <w:r w:rsidRPr="00111FC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получает возможность перейти от формального признания права к его практической реализации. </w:t>
      </w:r>
    </w:p>
    <w:p w14:paraId="7C0377F9" w14:textId="5E5D7424" w:rsidR="0051378F" w:rsidRDefault="00AA3F5E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AA3F5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Выдача исполнительного листа не предполагает разрешения нового правового спора, установления дополнительных обстоятельств либо совершения сложных процессуальных действий. По существу, речь идет о процессуально</w:t>
      </w:r>
      <w:r w:rsidR="00833FF7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AA3F5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значимом, но в значительной степени техническом действии суда, совершаемом на основании уже принятого судебного акта. С учетом развития электронного документооборота и действующих цифровых сервисов судебной системы установление понятного срока совершения такого действия является обоснованным и практически реализуемым.</w:t>
      </w:r>
    </w:p>
    <w:p w14:paraId="37A7D5B5" w14:textId="5168A951" w:rsidR="00111FCE" w:rsidRDefault="00111FCE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Д</w:t>
      </w:r>
      <w:r w:rsidRPr="00111FC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ействующие положения части 3 статьи 319 АПК РФ, части 1 </w:t>
      </w:r>
      <w:r w:rsidR="006B237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111FC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статьи 428 ГПК РФ и части 3 статьи 353 КАС РФ определяют момент, ранее которого исполнительный лист не может быть выдан, но не устанавливают общего срока, в течение которого суд обязан выдать исполнительный лист после обращения взыскателя либо направить его на исполнение.</w:t>
      </w:r>
    </w:p>
    <w:p w14:paraId="5426B61B" w14:textId="6F6B5F38" w:rsidR="00111FCE" w:rsidRDefault="00425152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Тем самым закон отвечает на вопрос, когда исполнительный лист может быть выдан, но не отвечает на вопрос, в какой срок это должно быть сделано после обращения взыскателя. На практике именно эта неопределенность становится причиной </w:t>
      </w:r>
      <w:r w:rsidR="0074068B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длительного </w:t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ожидания, дополнительных обращений </w:t>
      </w:r>
      <w:r w:rsidR="006B237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в суд, жалоб и затягивания перехода к исполнению судебного акта. Наиболее чувствительно данная проблема проявляется в судах общей юрисдикции, </w:t>
      </w:r>
      <w:r w:rsidR="006B237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где граждане </w:t>
      </w:r>
      <w:r w:rsidR="004B448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и организации </w:t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нередко не имеют понятного временного ориентира для получения исполнительного листа.</w:t>
      </w:r>
    </w:p>
    <w:p w14:paraId="63E14F27" w14:textId="3BB3A862" w:rsidR="00425152" w:rsidRDefault="00425152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Предлагаемое </w:t>
      </w:r>
      <w:r w:rsidR="001A0B0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законопроектом решение</w:t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не меняет действующую логику процессуальных кодексов. Во всех трех кодексах уже закреплено, </w:t>
      </w:r>
      <w:r w:rsidR="006B237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что исполнительный лист выдается после вступления судебного акта </w:t>
      </w:r>
      <w:r w:rsidR="006B237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в законную силу, а в случаях немедленного исполнения</w:t>
      </w:r>
      <w:r w:rsidR="001A0B0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–</w:t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сразу после принятия соответствующего судебного акта либо обращения его </w:t>
      </w:r>
      <w:r w:rsidR="007D79B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к немедленному исполнению. Одновременно в кодексах предусмотрено, </w:t>
      </w:r>
      <w:r w:rsidR="007D79B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что исполнительный лист, выданный до вступления судебного акта </w:t>
      </w:r>
      <w:r w:rsidR="00F576D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425152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>в законную силу, является ничтожным и подлежит отзыву судом. Следовательно, законопроект не изменяет момент допустимости выдачи исполнительного листа, а лишь устанавливает понятный срок совершения этого процессуального действия после обращения взыскателя.</w:t>
      </w:r>
    </w:p>
    <w:p w14:paraId="546B7DC4" w14:textId="41A63518" w:rsidR="002075AC" w:rsidRDefault="00670C0D" w:rsidP="00C63062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670C0D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Законопроект также учитывает ситуацию, при которой заявление или ходатайство о выдаче исполнительного листа поступает в период нахождения дела в суде вышестоящей инстанции. В проектируемых нормах специально предусмотрено, что в таком случае срок выдачи исполнительного листа исчисляется со дня поступления дела в суд первой инстанции. Это исключает формальное исчисление срока в период, когда суд первой инстанции объективно лишен возможности выдать исполнительный лист, и обеспечивает процессуальную определенность предлагаемого регулирования.</w:t>
      </w:r>
    </w:p>
    <w:p w14:paraId="418BBC37" w14:textId="56F1AEBF" w:rsidR="007B09C7" w:rsidRDefault="001D4E50" w:rsidP="00C63062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Также необходимо отметить, что </w:t>
      </w:r>
      <w:r w:rsidR="00CA1770" w:rsidRPr="00CA177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законопроект не предусматривает специального порядка исчисления вводимого срока, поскольку он исчисляется по общим правилам, установленным АПК РФ, ГПК РФ и КАС РФ 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соответственно</w:t>
      </w:r>
      <w:r w:rsidR="00CA1770" w:rsidRPr="00CA1770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. По этой причине дополнительное воспроизведение соответствующих положений в тексте законопроекта не требуется.</w:t>
      </w:r>
    </w:p>
    <w:p w14:paraId="08F24766" w14:textId="1B4246C0" w:rsidR="00425152" w:rsidRDefault="00E70AF4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Установление </w:t>
      </w:r>
      <w:r w:rsidR="002004C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сроков выдачи исполнительного листа</w:t>
      </w:r>
      <w:r w:rsidR="00AE6D76" w:rsidRPr="00AE6D76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согласуется с общей структурой процессуального законодательства. АПК РФ, ГПК РФ и КАС РФ содержат многочисленные сроки для совершения существенных процессуальных действий суда: принятия искового заявления, его возвращения, направления копий судебных определений, принятия обеспечительных мер, рассмотрения замечаний на протокол и иных процессуальных вопросов. На этом фоне отсутствие общего срока выдачи исполнительного листа выглядит исключением, которое не имеет достаточного обоснования и порождает правовую неопределенность.</w:t>
      </w:r>
    </w:p>
    <w:p w14:paraId="391E8913" w14:textId="68DD8DF4" w:rsidR="00AE6D76" w:rsidRDefault="00A80718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Актуальность законопроекта подтверждается и правовыми позициями Конституционного Суда Российской Федерации по смежным вопросам. </w:t>
      </w:r>
      <w:r w:rsidR="00F576D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В Постановлении от 26</w:t>
      </w:r>
      <w:r w:rsidR="00BB766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.04.</w:t>
      </w:r>
      <w:r w:rsidR="00F576D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2023 </w:t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№ 21-П Конституционный Суд Российской Федерации указал на недопустимость отсутствия предельного </w:t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процессуального срока в вопросе, непосредственно влияющем на положение участников исполнительного производства, и обязал федерального законодателя устранить соответствующую неопределенность. В 2024 году Конституционный Суд Российской Федерации также указал </w:t>
      </w:r>
      <w:r w:rsidR="00613A8D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на конституционную значимость устранения пробела в регулировании срока подачи заявления об индексации присужденных сумм. Эти правовые позиции подтверждают общий подход: отсутствие четких процессуальных сроков </w:t>
      </w:r>
      <w:r w:rsidR="00613A8D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в вопросах, связанных с исполнением судебного акта, способно затрагивать гарантии судебной защиты и требует законодательного разрешения.</w:t>
      </w:r>
    </w:p>
    <w:p w14:paraId="719D2A9B" w14:textId="32AE1BB9" w:rsidR="00A80718" w:rsidRDefault="00A80718" w:rsidP="004B4489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Вопрос о сроках выдачи исполнительного листа уже поднимался </w:t>
      </w:r>
      <w:r w:rsidR="00613A8D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на федеральном уровне</w:t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. Ранее в Государственную Думу вносились законопроекты № 312423-6</w:t>
      </w:r>
      <w:r w:rsidR="00906DD1">
        <w:rPr>
          <w:rStyle w:val="af3"/>
          <w:rFonts w:ascii="Times New Roman" w:hAnsi="Times New Roman" w:cs="Times New Roman"/>
          <w:bCs/>
          <w:kern w:val="0"/>
          <w:sz w:val="28"/>
          <w:szCs w:val="28"/>
          <w14:ligatures w14:val="none"/>
        </w:rPr>
        <w:footnoteReference w:id="2"/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и № 367829-6</w:t>
      </w:r>
      <w:r w:rsidR="00906DD1">
        <w:rPr>
          <w:rStyle w:val="af3"/>
          <w:rFonts w:ascii="Times New Roman" w:hAnsi="Times New Roman" w:cs="Times New Roman"/>
          <w:bCs/>
          <w:kern w:val="0"/>
          <w:sz w:val="28"/>
          <w:szCs w:val="28"/>
          <w14:ligatures w14:val="none"/>
        </w:rPr>
        <w:footnoteReference w:id="3"/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. Из материалов 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по данным законопроектам</w:t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усматривается, что сама идея законодательного определения срока выдачи исполнительного листа не была признана лишенной оснований</w:t>
      </w:r>
      <w:r w:rsidR="001F707F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.</w:t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1F707F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</w:t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апротив, отмечалось, что она направлена на усиление гарантий своевременной судебной защиты. Вместе с тем прежние проекты содержали уязвимые решения. Во-первых, они предлагали встраивать срок в общие положения о выдаче исполнительного листа без достаточной увязки с тем обстоятельством, что получение исполнительного листа обусловлено волеизъявлением взыскателя. Во-вторых, в ряде случаев использовалась конструкция, которая выглядела слишком общей либо устанавливала чрезмерно длительный срок. </w:t>
      </w:r>
      <w:r w:rsidR="00351A21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В-третьих,</w:t>
      </w:r>
      <w:r w:rsidR="00E47E3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не учитывали</w:t>
      </w:r>
      <w:r w:rsidR="00351A21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, что ходатайство или заявление о выдаче исполнительного листа может быть подано в период, когда материалы дела находятся в суде вышестоящей инстанции. </w:t>
      </w:r>
      <w:r w:rsidRPr="00A8071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Именно эти недостатки и обусловили критику ранее внесенных проектов.</w:t>
      </w:r>
    </w:p>
    <w:p w14:paraId="445D1C4F" w14:textId="01093F78" w:rsidR="00C46E60" w:rsidRDefault="00FD4643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FD4643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Дополнительным аргументом в пользу законопроекта является современный уровень цифровизации судебной системы. Действующее законодательство уже допускает направление исполнительного листа для </w:t>
      </w:r>
      <w:r w:rsidRPr="00FD4643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исполнения в форме электронного документа, подписанного судьей усиленной квалифицированной электронной подписью. </w:t>
      </w:r>
    </w:p>
    <w:p w14:paraId="3908CE21" w14:textId="72EE7D7D" w:rsidR="00FD4643" w:rsidRDefault="005C2B85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С точки зрения опыта зарубежных стран</w:t>
      </w:r>
      <w:r w:rsidRPr="005C2B8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предлагаемый подход </w:t>
      </w:r>
      <w:r w:rsidR="00661F3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5C2B8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не является новым. В Республике Казахстан Гражданский процессуальный кодекс предусматривает срок 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выдачи</w:t>
      </w:r>
      <w:r w:rsidRPr="005C2B8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исполнительного листа судом первой инстанции в течение трех рабочих дней со дня вступления решения </w:t>
      </w:r>
      <w:r w:rsidR="00661F3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5C2B8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в законную силу либо возвращения дела из вышестоящего суда, </w:t>
      </w:r>
      <w:r w:rsidR="00661F39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5C2B8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а по решениям, подлежащим немедленному исполнению, не позднее следующего рабочего дня. Это подтверждает практическую реализуемость коротких и понятных сроков на стадии обращения судебного акта </w:t>
      </w:r>
      <w:r w:rsidR="00B9262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5C2B8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к исполнению в правопорядке, близком российской правовой системе</w:t>
      </w:r>
      <w:r w:rsidR="00FE2CD3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1DBB9991" w14:textId="425120F1" w:rsidR="00FE2CD3" w:rsidRDefault="00FE2CD3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FE2CD3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Принятие законопроекта позволит повысить правовую определенность, сократить период ожидания между завершением рассмотрения дела и началом исполнения судебного акта, уменьшить количество обращений и жалоб, вызванных отсутствием понятных сроков выдачи исполнительного листа, </w:t>
      </w:r>
      <w:r w:rsidR="00B92625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br/>
      </w:r>
      <w:r w:rsidRPr="00FE2CD3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а также укрепить доверие граждан и организаций к эффективности судебной защиты.</w:t>
      </w:r>
    </w:p>
    <w:p w14:paraId="1B38AE5C" w14:textId="77777777" w:rsidR="00967FAB" w:rsidRDefault="00967FAB" w:rsidP="00967FAB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DB20F4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Законопроект подготовлен при участии 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юриста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Якупова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Т.С., адвоката </w:t>
      </w:r>
      <w:proofErr w:type="spellStart"/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Лтифа</w:t>
      </w:r>
      <w:proofErr w:type="spellEnd"/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Ф.А.</w:t>
      </w:r>
    </w:p>
    <w:p w14:paraId="5A4B70F1" w14:textId="77777777" w:rsidR="00967FAB" w:rsidRDefault="00967FAB" w:rsidP="009F5BD5">
      <w:pPr>
        <w:tabs>
          <w:tab w:val="left" w:pos="993"/>
        </w:tabs>
        <w:suppressAutoHyphens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</w:p>
    <w:sectPr w:rsidR="00967FAB" w:rsidSect="004C7664">
      <w:headerReference w:type="default" r:id="rId9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25BB4D" w14:textId="77777777" w:rsidR="00B70E04" w:rsidRDefault="00B70E04" w:rsidP="00DE551A">
      <w:pPr>
        <w:spacing w:after="0" w:line="240" w:lineRule="auto"/>
      </w:pPr>
      <w:r>
        <w:separator/>
      </w:r>
    </w:p>
  </w:endnote>
  <w:endnote w:type="continuationSeparator" w:id="0">
    <w:p w14:paraId="4AAAE442" w14:textId="77777777" w:rsidR="00B70E04" w:rsidRDefault="00B70E04" w:rsidP="00DE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FEB86" w14:textId="77777777" w:rsidR="00B70E04" w:rsidRDefault="00B70E04" w:rsidP="00DE551A">
      <w:pPr>
        <w:spacing w:after="0" w:line="240" w:lineRule="auto"/>
      </w:pPr>
      <w:r>
        <w:separator/>
      </w:r>
    </w:p>
  </w:footnote>
  <w:footnote w:type="continuationSeparator" w:id="0">
    <w:p w14:paraId="0975C9BC" w14:textId="77777777" w:rsidR="00B70E04" w:rsidRDefault="00B70E04" w:rsidP="00DE551A">
      <w:pPr>
        <w:spacing w:after="0" w:line="240" w:lineRule="auto"/>
      </w:pPr>
      <w:r>
        <w:continuationSeparator/>
      </w:r>
    </w:p>
  </w:footnote>
  <w:footnote w:id="1">
    <w:p w14:paraId="52308F97" w14:textId="41DE4215" w:rsidR="00AC58F7" w:rsidRDefault="00AC58F7">
      <w:pPr>
        <w:pStyle w:val="af1"/>
      </w:pPr>
      <w:r>
        <w:rPr>
          <w:rStyle w:val="af3"/>
        </w:rPr>
        <w:footnoteRef/>
      </w:r>
      <w:r>
        <w:t xml:space="preserve"> </w:t>
      </w:r>
      <w:r w:rsidRPr="00AC517F">
        <w:rPr>
          <w:rFonts w:ascii="Times New Roman" w:hAnsi="Times New Roman" w:cs="Times New Roman"/>
          <w:sz w:val="24"/>
          <w:szCs w:val="24"/>
        </w:rPr>
        <w:t>Постановлени</w:t>
      </w:r>
      <w:r w:rsidR="004D52E1" w:rsidRPr="00AC517F">
        <w:rPr>
          <w:rFonts w:ascii="Times New Roman" w:hAnsi="Times New Roman" w:cs="Times New Roman"/>
          <w:sz w:val="24"/>
          <w:szCs w:val="24"/>
        </w:rPr>
        <w:t xml:space="preserve">я </w:t>
      </w:r>
      <w:r w:rsidRPr="00AC517F">
        <w:rPr>
          <w:rFonts w:ascii="Times New Roman" w:hAnsi="Times New Roman" w:cs="Times New Roman"/>
          <w:sz w:val="24"/>
          <w:szCs w:val="24"/>
        </w:rPr>
        <w:t>Конституционного Суда Р</w:t>
      </w:r>
      <w:r w:rsidR="00136361">
        <w:rPr>
          <w:rFonts w:ascii="Times New Roman" w:hAnsi="Times New Roman" w:cs="Times New Roman"/>
          <w:sz w:val="24"/>
          <w:szCs w:val="24"/>
        </w:rPr>
        <w:t xml:space="preserve">оссийской Федерации </w:t>
      </w:r>
      <w:r w:rsidR="00136361" w:rsidRPr="00AC517F">
        <w:rPr>
          <w:rFonts w:ascii="Times New Roman" w:hAnsi="Times New Roman" w:cs="Times New Roman"/>
          <w:sz w:val="24"/>
          <w:szCs w:val="24"/>
        </w:rPr>
        <w:t xml:space="preserve">от 26.04.2023 </w:t>
      </w:r>
      <w:r w:rsidR="00136361">
        <w:rPr>
          <w:rFonts w:ascii="Times New Roman" w:hAnsi="Times New Roman" w:cs="Times New Roman"/>
          <w:sz w:val="24"/>
          <w:szCs w:val="24"/>
        </w:rPr>
        <w:t>№ 21-П</w:t>
      </w:r>
      <w:r w:rsidR="004D52E1" w:rsidRPr="00AC517F">
        <w:rPr>
          <w:rFonts w:ascii="Times New Roman" w:hAnsi="Times New Roman" w:cs="Times New Roman"/>
          <w:sz w:val="24"/>
          <w:szCs w:val="24"/>
        </w:rPr>
        <w:t xml:space="preserve">; </w:t>
      </w:r>
      <w:r w:rsidR="00136361">
        <w:rPr>
          <w:rFonts w:ascii="Times New Roman" w:hAnsi="Times New Roman" w:cs="Times New Roman"/>
          <w:sz w:val="24"/>
          <w:szCs w:val="24"/>
        </w:rPr>
        <w:br/>
        <w:t xml:space="preserve">от 14.11.2024 </w:t>
      </w:r>
      <w:r w:rsidR="00AC517F" w:rsidRPr="00AC517F">
        <w:rPr>
          <w:rFonts w:ascii="Times New Roman" w:hAnsi="Times New Roman" w:cs="Times New Roman"/>
          <w:sz w:val="24"/>
          <w:szCs w:val="24"/>
        </w:rPr>
        <w:t xml:space="preserve">№ 52-П; </w:t>
      </w:r>
      <w:r w:rsidR="00136361">
        <w:rPr>
          <w:rFonts w:ascii="Times New Roman" w:hAnsi="Times New Roman" w:cs="Times New Roman"/>
          <w:sz w:val="24"/>
          <w:szCs w:val="24"/>
        </w:rPr>
        <w:t>от 18.11.2025</w:t>
      </w:r>
      <w:r w:rsidR="00136361" w:rsidRPr="00136361">
        <w:rPr>
          <w:rFonts w:ascii="Times New Roman" w:hAnsi="Times New Roman" w:cs="Times New Roman"/>
          <w:sz w:val="24"/>
          <w:szCs w:val="24"/>
        </w:rPr>
        <w:t xml:space="preserve"> </w:t>
      </w:r>
      <w:r w:rsidR="00136361" w:rsidRPr="00AC517F">
        <w:rPr>
          <w:rFonts w:ascii="Times New Roman" w:hAnsi="Times New Roman" w:cs="Times New Roman"/>
          <w:sz w:val="24"/>
          <w:szCs w:val="24"/>
        </w:rPr>
        <w:t>№ 39-П</w:t>
      </w:r>
      <w:r w:rsidR="00136361">
        <w:rPr>
          <w:rFonts w:ascii="Times New Roman" w:hAnsi="Times New Roman" w:cs="Times New Roman"/>
          <w:sz w:val="24"/>
          <w:szCs w:val="24"/>
        </w:rPr>
        <w:t>.</w:t>
      </w:r>
    </w:p>
  </w:footnote>
  <w:footnote w:id="2">
    <w:p w14:paraId="0E1DA3FB" w14:textId="309A0346" w:rsidR="00906DD1" w:rsidRDefault="00906DD1">
      <w:pPr>
        <w:pStyle w:val="af1"/>
      </w:pPr>
      <w:r>
        <w:rPr>
          <w:rStyle w:val="af3"/>
        </w:rPr>
        <w:footnoteRef/>
      </w:r>
      <w:r>
        <w:t xml:space="preserve"> </w:t>
      </w:r>
      <w:r w:rsidRPr="00906DD1">
        <w:rPr>
          <w:rFonts w:ascii="Times New Roman" w:hAnsi="Times New Roman" w:cs="Times New Roman"/>
          <w:sz w:val="24"/>
          <w:szCs w:val="24"/>
        </w:rPr>
        <w:t>https://sozd.duma.gov.ru/bill/312423-6</w:t>
      </w:r>
    </w:p>
  </w:footnote>
  <w:footnote w:id="3">
    <w:p w14:paraId="6BE88994" w14:textId="590D6579" w:rsidR="00906DD1" w:rsidRDefault="00906DD1">
      <w:pPr>
        <w:pStyle w:val="af1"/>
      </w:pPr>
      <w:r>
        <w:rPr>
          <w:rStyle w:val="af3"/>
        </w:rPr>
        <w:footnoteRef/>
      </w:r>
      <w:r>
        <w:t xml:space="preserve"> </w:t>
      </w:r>
      <w:r w:rsidRPr="00906DD1">
        <w:rPr>
          <w:rFonts w:ascii="Times New Roman" w:hAnsi="Times New Roman" w:cs="Times New Roman"/>
          <w:sz w:val="24"/>
          <w:szCs w:val="24"/>
        </w:rPr>
        <w:t>https://sozd.duma.gov.ru/bill/367829-6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323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2"/>
        <w:szCs w:val="32"/>
      </w:rPr>
    </w:sdtEndPr>
    <w:sdtContent>
      <w:p w14:paraId="4EAC2D49" w14:textId="7367CC75" w:rsidR="00DE551A" w:rsidRPr="00DE551A" w:rsidRDefault="00DE551A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551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E551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551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17FB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DE551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E88EF0D" w14:textId="77777777" w:rsidR="00DE551A" w:rsidRDefault="00DE551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141E7"/>
    <w:multiLevelType w:val="hybridMultilevel"/>
    <w:tmpl w:val="5FAA6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303"/>
    <w:rsid w:val="000C5769"/>
    <w:rsid w:val="00111FCE"/>
    <w:rsid w:val="0011493C"/>
    <w:rsid w:val="001357ED"/>
    <w:rsid w:val="00136361"/>
    <w:rsid w:val="001431C7"/>
    <w:rsid w:val="001736DB"/>
    <w:rsid w:val="0018515A"/>
    <w:rsid w:val="001A0B0E"/>
    <w:rsid w:val="001C7E2F"/>
    <w:rsid w:val="001D4E50"/>
    <w:rsid w:val="001E4A35"/>
    <w:rsid w:val="001F707F"/>
    <w:rsid w:val="001F78D2"/>
    <w:rsid w:val="002004C4"/>
    <w:rsid w:val="002075AC"/>
    <w:rsid w:val="00210C0E"/>
    <w:rsid w:val="00222C53"/>
    <w:rsid w:val="002819B9"/>
    <w:rsid w:val="002B256D"/>
    <w:rsid w:val="002F21CF"/>
    <w:rsid w:val="00316EA7"/>
    <w:rsid w:val="00332F98"/>
    <w:rsid w:val="00351A21"/>
    <w:rsid w:val="003678FD"/>
    <w:rsid w:val="00376253"/>
    <w:rsid w:val="003A3554"/>
    <w:rsid w:val="003E051D"/>
    <w:rsid w:val="00404CAD"/>
    <w:rsid w:val="00411A75"/>
    <w:rsid w:val="00425152"/>
    <w:rsid w:val="004253A8"/>
    <w:rsid w:val="004470A6"/>
    <w:rsid w:val="004550A3"/>
    <w:rsid w:val="00486257"/>
    <w:rsid w:val="004B4489"/>
    <w:rsid w:val="004C7664"/>
    <w:rsid w:val="004D52E1"/>
    <w:rsid w:val="004F2805"/>
    <w:rsid w:val="005031A4"/>
    <w:rsid w:val="0051378F"/>
    <w:rsid w:val="00583DA4"/>
    <w:rsid w:val="0059219B"/>
    <w:rsid w:val="005C2B85"/>
    <w:rsid w:val="0060018F"/>
    <w:rsid w:val="00602A9A"/>
    <w:rsid w:val="00613A8D"/>
    <w:rsid w:val="0065625F"/>
    <w:rsid w:val="00661F39"/>
    <w:rsid w:val="00665BB4"/>
    <w:rsid w:val="00667858"/>
    <w:rsid w:val="00670C0D"/>
    <w:rsid w:val="006B2374"/>
    <w:rsid w:val="006B3811"/>
    <w:rsid w:val="006C2A7F"/>
    <w:rsid w:val="006F06EE"/>
    <w:rsid w:val="007017F6"/>
    <w:rsid w:val="00702D01"/>
    <w:rsid w:val="00706A63"/>
    <w:rsid w:val="00725303"/>
    <w:rsid w:val="0074068B"/>
    <w:rsid w:val="007717D6"/>
    <w:rsid w:val="007921A0"/>
    <w:rsid w:val="007B09C7"/>
    <w:rsid w:val="007C2E1F"/>
    <w:rsid w:val="007D79B9"/>
    <w:rsid w:val="00807361"/>
    <w:rsid w:val="00814F5B"/>
    <w:rsid w:val="00820B7C"/>
    <w:rsid w:val="00833FF7"/>
    <w:rsid w:val="00860C74"/>
    <w:rsid w:val="00896A47"/>
    <w:rsid w:val="008D43E3"/>
    <w:rsid w:val="00903DF3"/>
    <w:rsid w:val="00906DD1"/>
    <w:rsid w:val="00927217"/>
    <w:rsid w:val="0095022C"/>
    <w:rsid w:val="00967FAB"/>
    <w:rsid w:val="009C4385"/>
    <w:rsid w:val="009C6A5F"/>
    <w:rsid w:val="009F339E"/>
    <w:rsid w:val="009F5BD5"/>
    <w:rsid w:val="00A128B8"/>
    <w:rsid w:val="00A80718"/>
    <w:rsid w:val="00A95459"/>
    <w:rsid w:val="00AA3F5E"/>
    <w:rsid w:val="00AC517F"/>
    <w:rsid w:val="00AC58F7"/>
    <w:rsid w:val="00AD0ACF"/>
    <w:rsid w:val="00AE6D76"/>
    <w:rsid w:val="00B378AA"/>
    <w:rsid w:val="00B50369"/>
    <w:rsid w:val="00B56D7D"/>
    <w:rsid w:val="00B70E04"/>
    <w:rsid w:val="00B83B05"/>
    <w:rsid w:val="00B92625"/>
    <w:rsid w:val="00BB7669"/>
    <w:rsid w:val="00BE5443"/>
    <w:rsid w:val="00BE7ECF"/>
    <w:rsid w:val="00C26970"/>
    <w:rsid w:val="00C46E60"/>
    <w:rsid w:val="00C63062"/>
    <w:rsid w:val="00C67CC7"/>
    <w:rsid w:val="00C90E32"/>
    <w:rsid w:val="00CA1770"/>
    <w:rsid w:val="00CC3DFB"/>
    <w:rsid w:val="00CC59C7"/>
    <w:rsid w:val="00CD6BA8"/>
    <w:rsid w:val="00CF5CEC"/>
    <w:rsid w:val="00D057E6"/>
    <w:rsid w:val="00D17FB6"/>
    <w:rsid w:val="00D242EF"/>
    <w:rsid w:val="00D43B9F"/>
    <w:rsid w:val="00D45194"/>
    <w:rsid w:val="00DA7607"/>
    <w:rsid w:val="00DB20F4"/>
    <w:rsid w:val="00DE551A"/>
    <w:rsid w:val="00E47E3E"/>
    <w:rsid w:val="00E57B7F"/>
    <w:rsid w:val="00E7053C"/>
    <w:rsid w:val="00E70AF4"/>
    <w:rsid w:val="00ED0DB4"/>
    <w:rsid w:val="00F061A7"/>
    <w:rsid w:val="00F27B58"/>
    <w:rsid w:val="00F444F9"/>
    <w:rsid w:val="00F52E7B"/>
    <w:rsid w:val="00F576D9"/>
    <w:rsid w:val="00F97F7A"/>
    <w:rsid w:val="00FA34BC"/>
    <w:rsid w:val="00FC0A70"/>
    <w:rsid w:val="00FD4643"/>
    <w:rsid w:val="00FE2CD3"/>
    <w:rsid w:val="00FF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EC9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5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3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3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3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3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3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3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3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3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3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3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3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5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5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5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53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53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53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53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53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530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E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E551A"/>
  </w:style>
  <w:style w:type="paragraph" w:styleId="ae">
    <w:name w:val="footer"/>
    <w:basedOn w:val="a"/>
    <w:link w:val="af"/>
    <w:uiPriority w:val="99"/>
    <w:unhideWhenUsed/>
    <w:rsid w:val="00DE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E551A"/>
  </w:style>
  <w:style w:type="paragraph" w:styleId="af0">
    <w:name w:val="Revision"/>
    <w:hidden/>
    <w:uiPriority w:val="99"/>
    <w:semiHidden/>
    <w:rsid w:val="00210C0E"/>
    <w:pPr>
      <w:spacing w:after="0" w:line="240" w:lineRule="auto"/>
    </w:pPr>
  </w:style>
  <w:style w:type="paragraph" w:styleId="af1">
    <w:name w:val="footnote text"/>
    <w:basedOn w:val="a"/>
    <w:link w:val="af2"/>
    <w:uiPriority w:val="99"/>
    <w:semiHidden/>
    <w:unhideWhenUsed/>
    <w:rsid w:val="00AC58F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AC58F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AC58F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5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3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3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3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3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3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3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3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3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3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3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3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5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5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5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53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53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53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53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53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530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E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E551A"/>
  </w:style>
  <w:style w:type="paragraph" w:styleId="ae">
    <w:name w:val="footer"/>
    <w:basedOn w:val="a"/>
    <w:link w:val="af"/>
    <w:uiPriority w:val="99"/>
    <w:unhideWhenUsed/>
    <w:rsid w:val="00DE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E551A"/>
  </w:style>
  <w:style w:type="paragraph" w:styleId="af0">
    <w:name w:val="Revision"/>
    <w:hidden/>
    <w:uiPriority w:val="99"/>
    <w:semiHidden/>
    <w:rsid w:val="00210C0E"/>
    <w:pPr>
      <w:spacing w:after="0" w:line="240" w:lineRule="auto"/>
    </w:pPr>
  </w:style>
  <w:style w:type="paragraph" w:styleId="af1">
    <w:name w:val="footnote text"/>
    <w:basedOn w:val="a"/>
    <w:link w:val="af2"/>
    <w:uiPriority w:val="99"/>
    <w:semiHidden/>
    <w:unhideWhenUsed/>
    <w:rsid w:val="00AC58F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AC58F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AC58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3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22E3B5-D631-45AC-8E0A-6AE9B242A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Якупов</dc:creator>
  <cp:lastModifiedBy>СОЛОВЬЕВА Е.В.</cp:lastModifiedBy>
  <cp:revision>24</cp:revision>
  <cp:lastPrinted>2026-03-16T08:38:00Z</cp:lastPrinted>
  <dcterms:created xsi:type="dcterms:W3CDTF">2026-03-11T12:09:00Z</dcterms:created>
  <dcterms:modified xsi:type="dcterms:W3CDTF">2026-03-16T08:38:00Z</dcterms:modified>
</cp:coreProperties>
</file>