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36ECB" w14:textId="77777777" w:rsidR="003671E5" w:rsidRPr="003671E5" w:rsidRDefault="003671E5" w:rsidP="003671E5">
      <w:pPr>
        <w:pStyle w:val="Default"/>
        <w:jc w:val="right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Проект вносится</w:t>
      </w:r>
    </w:p>
    <w:p w14:paraId="03FE2AA8" w14:textId="77777777" w:rsidR="003671E5" w:rsidRPr="003671E5" w:rsidRDefault="003671E5" w:rsidP="003671E5">
      <w:pPr>
        <w:pStyle w:val="Default"/>
        <w:jc w:val="right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Сенаторами Российской Федерации</w:t>
      </w:r>
    </w:p>
    <w:p w14:paraId="48B71864" w14:textId="77777777" w:rsidR="003671E5" w:rsidRPr="003671E5" w:rsidRDefault="003671E5" w:rsidP="003671E5">
      <w:pPr>
        <w:pStyle w:val="Default"/>
        <w:jc w:val="right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А.В. Кутеповым,</w:t>
      </w:r>
    </w:p>
    <w:p w14:paraId="332F985C" w14:textId="77777777" w:rsidR="003671E5" w:rsidRPr="003671E5" w:rsidRDefault="003671E5" w:rsidP="003671E5">
      <w:pPr>
        <w:pStyle w:val="Default"/>
        <w:jc w:val="right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В.Н. Васильевым,</w:t>
      </w:r>
    </w:p>
    <w:p w14:paraId="43F4C7B4" w14:textId="77777777" w:rsidR="003671E5" w:rsidRPr="003671E5" w:rsidRDefault="003671E5" w:rsidP="003671E5">
      <w:pPr>
        <w:pStyle w:val="Default"/>
        <w:jc w:val="right"/>
        <w:rPr>
          <w:sz w:val="44"/>
          <w:szCs w:val="44"/>
        </w:rPr>
      </w:pPr>
      <w:r w:rsidRPr="003671E5">
        <w:rPr>
          <w:rFonts w:ascii="Times New Roman" w:hAnsi="Times New Roman" w:cs="Times New Roman"/>
          <w:sz w:val="26"/>
          <w:szCs w:val="26"/>
        </w:rPr>
        <w:t>Е.И. Дитрихом</w:t>
      </w:r>
    </w:p>
    <w:p w14:paraId="209E2CC5" w14:textId="77777777" w:rsidR="003671E5" w:rsidRDefault="003671E5" w:rsidP="003671E5">
      <w:pPr>
        <w:pStyle w:val="Default"/>
        <w:jc w:val="center"/>
        <w:rPr>
          <w:b/>
          <w:bCs/>
          <w:sz w:val="44"/>
          <w:szCs w:val="44"/>
        </w:rPr>
      </w:pPr>
    </w:p>
    <w:p w14:paraId="6F283603" w14:textId="77777777" w:rsidR="003671E5" w:rsidRPr="003671E5" w:rsidRDefault="003671E5" w:rsidP="003671E5">
      <w:pPr>
        <w:pStyle w:val="Default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ФЕДЕРАЛЬНЫЙ ЗАКОН</w:t>
      </w:r>
    </w:p>
    <w:p w14:paraId="74AD16FC" w14:textId="77777777" w:rsidR="003671E5" w:rsidRPr="003671E5" w:rsidRDefault="003671E5" w:rsidP="003671E5">
      <w:pPr>
        <w:pStyle w:val="Default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</w:t>
      </w:r>
    </w:p>
    <w:p w14:paraId="2F57B22A" w14:textId="77777777" w:rsidR="003671E5" w:rsidRPr="003671E5" w:rsidRDefault="003671E5" w:rsidP="003671E5">
      <w:pPr>
        <w:pStyle w:val="Default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в отдельные законодательные акты Российской Федерации</w:t>
      </w:r>
    </w:p>
    <w:p w14:paraId="525ACF65" w14:textId="77777777" w:rsidR="003671E5" w:rsidRDefault="003671E5" w:rsidP="003671E5">
      <w:pPr>
        <w:pStyle w:val="Default"/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00D3433E" w14:textId="77777777" w:rsidR="003671E5" w:rsidRDefault="003671E5" w:rsidP="003671E5">
      <w:pPr>
        <w:pStyle w:val="Default"/>
        <w:spacing w:line="360" w:lineRule="auto"/>
        <w:ind w:firstLine="426"/>
        <w:rPr>
          <w:rFonts w:ascii="Times New Roman" w:hAnsi="Times New Roman" w:cs="Times New Roman"/>
          <w:b/>
          <w:bCs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 xml:space="preserve">Статья 1 </w:t>
      </w:r>
    </w:p>
    <w:p w14:paraId="43C74411" w14:textId="77777777" w:rsidR="003671E5" w:rsidRPr="003671E5" w:rsidRDefault="003671E5" w:rsidP="003671E5">
      <w:pPr>
        <w:pStyle w:val="Default"/>
        <w:spacing w:line="36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14:paraId="4E8B0FE6" w14:textId="77777777" w:rsidR="003671E5" w:rsidRPr="003671E5" w:rsidRDefault="003671E5" w:rsidP="003671E5">
      <w:pPr>
        <w:pStyle w:val="Default"/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 xml:space="preserve">Статью 11 Закона Российской Федерации от 1 апреля 1993 года № 4730-I «О Государственной границе Российской Федерации»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1998, № 31, ст. 3805; 2003, № 27, ст. 2700; 2004; № 35, ст. 3607; 2007, № 1, ст. 29; 2008, № 52, ст. 6246; 2011, № 23, ст. 3256; № 49, ст. 7022; 2014, № 52, ст. 7557; 2024, № 33, ст. 4956, 2025, № 30, ст. 4406) дополнить частями двенадцатой и тринадцатой следующего содержания: </w:t>
      </w:r>
    </w:p>
    <w:p w14:paraId="47EDDA0C" w14:textId="77777777" w:rsidR="00636596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«Российские перевозчики, иностранные перевозчики, осуществляющие международные автомобильные перевозки или лица, действующие по их поручению, вправе направить предварительную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информацию, необходимую для осуществления пограничного и таможенного контроля, государственного контроля (надзора) за осуществлением международных автомобильных перевозок, а в случаях, установленных международными договорами Российской Федерации и федеральными законами, и иных видов контроля, в целях обеспечения пропуска через Государственную границу в автомобильных пунктах пропуска через Государственную границу, перечень которых определяется Правительством Российской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Федерации, посредством использования личного кабинета в государственной информационной системе электронных перевозочных документов, предусмотренной Федеральным законом от 8 ноября 2007 года № 259-ФЗ «Устав автомобильного транспорта и городского наземного электрического транспорта».</w:t>
      </w:r>
    </w:p>
    <w:p w14:paraId="0AD2E2FE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lastRenderedPageBreak/>
        <w:t>Состав предварительной информации, предусмотренной частью двенадцатой настоящей статьи, предоставляемой российскими перевозчиками или иностранными перевозчиками, осуществляющими международные автомобильные перевозки, определяется правом Евразийского экономического союза, законодательством Российской Федерации о таможенном регулировании и законодательством Российской Федерации о государственном контроле за осуществлением международных автомобильных перевозок».».</w:t>
      </w:r>
    </w:p>
    <w:p w14:paraId="575ADB93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Статья 2</w:t>
      </w:r>
    </w:p>
    <w:p w14:paraId="53A6842C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Статью 16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2007, № 46, ст. 5553; 2011, № 30, ст. 4591; № 49, ст. 7015; 2015, № 48, ст. 6723; 2017, № 7, ст. 1028; 2018, № 1, ст. 27; 2023, № 8, ст.1202; № 25, ст. 4429; 2024, № 33,</w:t>
      </w:r>
      <w:r w:rsidRPr="003671E5"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ст. 4928; 2025, № 30, ст. 4390) дополнить частью девятой следующего содержания:</w:t>
      </w:r>
    </w:p>
    <w:p w14:paraId="362969CC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«9. Оборудование автомобильных пунктов пропуска через Государственную границу Российской Федерации, включенных в перечень, определяемый Правительством Российской Федерации в соответствии с частями двенадцатой и тринадцатой статьи 11 Закона Российской Федерации от 1 апреля 1993 года № 4730-I «О Государственной границе Российской Федерации»,</w:t>
      </w:r>
      <w:r w:rsidRPr="003671E5"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программно-аппаратным комплексом, обеспечивающим возможность передачи предварительной информации в государственную информационную систему электронных перевозочных документов, поданной российскими перевозчиками или иностранными перевозчиками, осуществляющими международные автомобильные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перевозки, или лицами, действующими по их поручению, необходимой для осуществления пограничного и таможенного контроля, государственного контроля (надзора) за осуществлением международных автомобильных перевозок, а в случаях, установленных международными договорами Российской Федерации и федеральными законами, и иных видов контроля, в целях обеспечения пропуска через Государственную границу Российской Федерации в автомобильных пунктах пропуска через Государственную границу Российской Федерации, осуществляется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14461513"/>
      <w:bookmarkStart w:id="1" w:name="_GoBack"/>
      <w:r w:rsidRPr="003671E5">
        <w:rPr>
          <w:rFonts w:ascii="Times New Roman" w:hAnsi="Times New Roman" w:cs="Times New Roman"/>
          <w:sz w:val="26"/>
          <w:szCs w:val="26"/>
        </w:rPr>
        <w:lastRenderedPageBreak/>
        <w:t>федеральным казенным учреждением,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транспорта</w:t>
      </w:r>
      <w:bookmarkEnd w:id="0"/>
      <w:bookmarkEnd w:id="1"/>
      <w:r w:rsidRPr="003671E5">
        <w:rPr>
          <w:rFonts w:ascii="Times New Roman" w:hAnsi="Times New Roman" w:cs="Times New Roman"/>
          <w:sz w:val="26"/>
          <w:szCs w:val="26"/>
        </w:rPr>
        <w:t>.».».</w:t>
      </w:r>
    </w:p>
    <w:p w14:paraId="6DCC7A78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Статья 3</w:t>
      </w:r>
    </w:p>
    <w:p w14:paraId="588332BF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Внести в Федеральный закон от 8 ноября 2007 года № 259-ФЗ «Устав автомобильного транспорта и городского наземного электрического транспорта» (Собрание законодательства Российской Федерации, 2007, № 46, ст. 5555; 2012, № 25, ст. 3268; 2021, № 27, ст. 5164; 2022, № 10, ст. 1396; 2023, № 1, ст. 27; № 8, ст. 1202; 2024, № 33, ст. 4984; 2025, № 23, ст. 2999) следующие изменения:</w:t>
      </w:r>
    </w:p>
    <w:p w14:paraId="3C3EAB9E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1) В пункте 24 части 1 статьи 2:</w:t>
      </w:r>
    </w:p>
    <w:p w14:paraId="4B4AAB42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подпункт «г» изложить в следующей редакции:</w:t>
      </w:r>
    </w:p>
    <w:p w14:paraId="0A98DB2C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«г) получение, обработку, хранение и представление предварительной информации, необходимой для осуществления пограничного и таможенного контроля, государственного контроля (надзора) за осуществлением международных автомобильных перевозок, а в случаях, установленных международными договорами Российской Федерации и федеральными законами, и иных видов контроля, в целях обеспечения пропуска через Государственную границу Российской Федерации в автомобильных пунктах пропуска</w:t>
      </w:r>
      <w:r w:rsidRPr="003671E5"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через Государственную границу Российской Федерации, определяемых Правительством Российской Федерации в соответствии с частями двенадцатой и тринадцатой статьи 11 Закона Российской Федерации от 1 апреля 1993 года № 4730-1 «О Государственной границе Российской Федерации», а также направление перевозчикам или лицам, действующим по их поручению, уведомления об итогах обработки полученной предварительной информации»;</w:t>
      </w:r>
    </w:p>
    <w:p w14:paraId="251CD272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дополнить подпунктом «д» следующего содержания:</w:t>
      </w:r>
    </w:p>
    <w:p w14:paraId="5DC22060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«д) выполнение иных функций, предусмотренных настоящим Федеральным законом;»;</w:t>
      </w:r>
    </w:p>
    <w:p w14:paraId="7B60EF38" w14:textId="1F70973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2) часть 5 статьи 18</w:t>
      </w:r>
      <w:r w:rsidR="00EF4E1B">
        <w:rPr>
          <w:rFonts w:ascii="Times New Roman" w:hAnsi="Times New Roman" w:cs="Times New Roman"/>
          <w:sz w:val="26"/>
          <w:szCs w:val="26"/>
        </w:rPr>
        <w:t>.</w:t>
      </w:r>
      <w:r w:rsidRPr="003671E5">
        <w:rPr>
          <w:rFonts w:ascii="Times New Roman" w:hAnsi="Times New Roman" w:cs="Times New Roman"/>
          <w:sz w:val="26"/>
          <w:szCs w:val="26"/>
        </w:rPr>
        <w:t>1 дополнить пунктом 13 следующего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содержания:</w:t>
      </w:r>
    </w:p>
    <w:p w14:paraId="50C62A35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lastRenderedPageBreak/>
        <w:t>«13) обеспечивать российским перевозчикам, иностранным перевозчикам или лицам, действующим по их поручению, возможность подачи предварительной информации, необходимой для осуществления пограничного и таможенного контроля, государственного контроля (надзора) за осуществлением международных автомобильных перевозок, а в случаях, установленных международными договорами Российской Федерации и федеральными законами, и иных видов контроля, в целях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обеспечения пропуска через Государственную границу Российской Федерации в автомобильных пунктах пропуска через Государственную границу Российской Федерации, определяемых Правительством Российской Федерации в соответствии с частями двенадцатой и тринадцатой статьи 11 Закона Российской Федерации от 1 апреля 1993 года № 4730-1 «О Государственной границе Российской Федерации», посредством использования личного кабинета заявителя в государственной информационной системе электронных перевозочных документов».».</w:t>
      </w:r>
    </w:p>
    <w:p w14:paraId="5D4E1EA0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Статья 4</w:t>
      </w:r>
    </w:p>
    <w:p w14:paraId="18F9C522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К нормативным правовым актам Российской Федерации, устанавливающим обязательные требования и предусмотренным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71E5">
        <w:rPr>
          <w:rFonts w:ascii="Times New Roman" w:hAnsi="Times New Roman" w:cs="Times New Roman"/>
          <w:sz w:val="26"/>
          <w:szCs w:val="26"/>
        </w:rPr>
        <w:t>законодательными актами Российской Федерации, измененными настоящим Федеральным законом, не применяются положения частей 1 и 4 статьи 3 и частей 1 и 2 статьи 11 Федерального закона от 31 июля 2020 года № 247-ФЗ «Об обязательных требованиях в Российской Федерации».</w:t>
      </w:r>
    </w:p>
    <w:p w14:paraId="410C5722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71E5">
        <w:rPr>
          <w:rFonts w:ascii="Times New Roman" w:hAnsi="Times New Roman" w:cs="Times New Roman"/>
          <w:b/>
          <w:bCs/>
          <w:sz w:val="26"/>
          <w:szCs w:val="26"/>
        </w:rPr>
        <w:t>Статья 5</w:t>
      </w:r>
    </w:p>
    <w:p w14:paraId="11778C85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671E5">
        <w:rPr>
          <w:rFonts w:ascii="Times New Roman" w:hAnsi="Times New Roman" w:cs="Times New Roman"/>
          <w:sz w:val="26"/>
          <w:szCs w:val="26"/>
        </w:rPr>
        <w:t>Настоящий Федеральный закон вступает в силу с 1 марта 2027 года.</w:t>
      </w:r>
    </w:p>
    <w:p w14:paraId="325683A3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3C04DC55" w14:textId="77777777" w:rsid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Президент </w:t>
      </w:r>
    </w:p>
    <w:p w14:paraId="218573BC" w14:textId="77777777" w:rsidR="003671E5" w:rsidRPr="003671E5" w:rsidRDefault="003671E5" w:rsidP="003671E5">
      <w:pPr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sectPr w:rsidR="003671E5" w:rsidRPr="00367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E5"/>
    <w:rsid w:val="003671E5"/>
    <w:rsid w:val="00636596"/>
    <w:rsid w:val="00E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4D36"/>
  <w15:chartTrackingRefBased/>
  <w15:docId w15:val="{F28AE2D3-7DD0-4376-9B3A-66AFA1BE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71E5"/>
    <w:pPr>
      <w:autoSpaceDE w:val="0"/>
      <w:autoSpaceDN w:val="0"/>
      <w:adjustRightInd w:val="0"/>
      <w:spacing w:after="0" w:line="240" w:lineRule="auto"/>
    </w:pPr>
    <w:rPr>
      <w:rFonts w:ascii="TimesNewRomanPS-BoldMT" w:hAnsi="TimesNewRomanPS-BoldMT" w:cs="TimesNewRomanPS-BoldMT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67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1056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2025-11-19T09:25:00Z</dcterms:created>
  <dcterms:modified xsi:type="dcterms:W3CDTF">2025-11-19T13:18:00Z</dcterms:modified>
</cp:coreProperties>
</file>