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ED4C1C" w14:textId="77777777" w:rsidR="00227C0C" w:rsidRPr="00F37166" w:rsidRDefault="001330A3" w:rsidP="00AA6D1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ПОЯСНИТЕЛЬНАЯ ЗАПИСКА</w:t>
      </w:r>
    </w:p>
    <w:p w14:paraId="48317375" w14:textId="5A1E4AD2" w:rsidR="00AA6D13" w:rsidRPr="00E24EAE" w:rsidRDefault="001330A3" w:rsidP="00F37166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4E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к проекту федерального закона </w:t>
      </w:r>
      <w:bookmarkStart w:id="0" w:name="_Hlk231566788"/>
      <w:r w:rsidR="00F37166" w:rsidRPr="00E24E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«</w:t>
      </w:r>
      <w:r w:rsidR="00F37166" w:rsidRPr="00E24E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 внесении изменений в Федеральный закон «О государственном контроле за осуществлением международных автомобильных перевозок и отдельных каботажных автомобильных </w:t>
      </w:r>
      <w:r w:rsidR="00E24E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="00F37166" w:rsidRPr="00E24E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перевозок и об ответственности за нарушение порядка их выполнения» </w:t>
      </w:r>
      <w:r w:rsidR="00F37166" w:rsidRPr="00E24E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  <w:t xml:space="preserve">и Федеральный закон «Устав автомобильного транспорта </w:t>
      </w:r>
      <w:r w:rsidR="00F37166" w:rsidRPr="00E24EA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  <w:t>и городского наземного электрического транспорта»</w:t>
      </w:r>
      <w:bookmarkEnd w:id="0"/>
    </w:p>
    <w:p w14:paraId="674E70F9" w14:textId="1049AFC9" w:rsidR="00227C0C" w:rsidRPr="00F37166" w:rsidRDefault="00227C0C" w:rsidP="00F3716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E066D" w14:textId="5802F5FA" w:rsidR="00DB64BB" w:rsidRPr="00F37166" w:rsidRDefault="001330A3" w:rsidP="00F3716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30"/>
        </w:rPr>
      </w:pP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федерального закона </w:t>
      </w:r>
      <w:r w:rsidR="00F37166" w:rsidRP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>«О государственном контроле за осуществлением международных автомобильных перевозок и отдельных каботажных авт</w:t>
      </w:r>
      <w:r w:rsid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 xml:space="preserve">омобильных перевозок </w:t>
      </w:r>
      <w:r w:rsidR="00F37166" w:rsidRP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>и об ответственности за на</w:t>
      </w:r>
      <w:r w:rsid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 xml:space="preserve">рушение порядка их выполнения» </w:t>
      </w:r>
      <w:r w:rsidR="00F37166" w:rsidRP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>и Федеральный закон «У</w:t>
      </w:r>
      <w:r w:rsid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 xml:space="preserve">став автомобильного транспорта </w:t>
      </w:r>
      <w:r w:rsidR="00F37166" w:rsidRP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>и городского наземного электрического транспорта»</w:t>
      </w: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проект федерального закона) подготовлен в целях совершенствования правового регулирования в сфере международных автомобильных</w:t>
      </w:r>
      <w:r w:rsidR="006850CE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перевозок </w:t>
      </w:r>
      <w:r w:rsidR="006850CE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грузов </w:t>
      </w: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части установления возможности подачи российскими </w:t>
      </w:r>
      <w:r w:rsidR="006850CE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перевозчиками, </w:t>
      </w: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>иностранными перевозчиками, осуществляющими международные автомобильные перевозки</w:t>
      </w:r>
      <w:r w:rsidR="006850CE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грузов</w:t>
      </w: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>, или лицами, действующими</w:t>
      </w:r>
      <w:r w:rsidR="006850CE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>по их поручению, предварительного уведомления, содержащего сведения о товарах</w:t>
      </w:r>
      <w:r w:rsidR="006850CE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>, транспортных средствах и лицах, управляющих ими</w:t>
      </w:r>
      <w:r w:rsidR="00DB64BB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(или) следующими в них</w:t>
      </w: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6850CE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посредством использования государственной информационной системы электронных перевозочных документов (далее – ГИС ЭПД), предусмотренной Федеральным законом от 8 ноября 2007 г. № 259-ФЗ «Устав автомобильного транспорта и городского наземного электрического транспорта», в целях </w:t>
      </w:r>
      <w:r w:rsidR="00DB64BB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информационного обеспечения проведения пограничного контроля, минимизации времени проведения таможенного контроля, государственного контроля (надзора) за осуществлением международных автомобильных перевозок и иных видов контроля, осуществляемых в автомобильных пунктах пропуска через государственную границу Российской Федерации (далее соответственно – государственный контроль, пункты пропуска).</w:t>
      </w:r>
    </w:p>
    <w:p w14:paraId="05881ED5" w14:textId="40535A3B" w:rsidR="00227C0C" w:rsidRPr="00F37166" w:rsidRDefault="001330A3" w:rsidP="00F37166">
      <w:pPr>
        <w:widowControl w:val="0"/>
        <w:tabs>
          <w:tab w:val="center" w:pos="1474"/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Предлагаемые изменения правового регулирования, предусмотренные проектом федерального закона, также направлены на достижение выполнения </w:t>
      </w:r>
      <w:r w:rsidR="006850CE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пункта 20 перечня поручений Президента Российской Федерации по реализации 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>Послания Президента Российской Федерации Федеральному Собранию Российской Федерации от 30 марта 2024 г. № Пр-616</w:t>
      </w: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 обеспечении типового времени досмотра грузового транспортного средства в пункте пропуска – не более 10 минут </w:t>
      </w:r>
      <w:r w:rsidR="006850CE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перечень поручений № Пр-616).</w:t>
      </w:r>
    </w:p>
    <w:p w14:paraId="0CC2C030" w14:textId="5E6E4A22" w:rsidR="00227C0C" w:rsidRPr="00F37166" w:rsidRDefault="001330A3">
      <w:pPr>
        <w:widowControl w:val="0"/>
        <w:tabs>
          <w:tab w:val="center" w:pos="1474"/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По результатам проведенного анализа правоприменительной практики, обусловившей необходимость принятия изменений правового регулирования, предусмотренных проектом федерального закона, выявлена необходимость внесения изменений в </w:t>
      </w:r>
      <w:r w:rsidR="00814A85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федеральный закон</w:t>
      </w:r>
      <w:r w:rsidR="00814A85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4A85" w:rsidRP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>«О государственном контроле за осуществлением международных автомобильных перевозок и отдельных каботажных авт</w:t>
      </w:r>
      <w:r w:rsidR="00814A85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 xml:space="preserve">омобильных перевозок </w:t>
      </w:r>
      <w:r w:rsidR="00814A85" w:rsidRP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>и об ответственности за на</w:t>
      </w:r>
      <w:r w:rsidR="00814A85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 xml:space="preserve">рушение порядка их выполнения» </w:t>
      </w:r>
      <w:r w:rsidR="00814A85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br/>
      </w:r>
      <w:r w:rsidR="00814A85" w:rsidRP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>и Федеральный закон «У</w:t>
      </w:r>
      <w:r w:rsidR="00814A85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 xml:space="preserve">став автомобильного транспорта </w:t>
      </w:r>
      <w:r w:rsidR="00814A85" w:rsidRPr="00F37166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>и городского наземного электрического транспорта»</w:t>
      </w:r>
      <w:r w:rsidR="00814A85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 xml:space="preserve"> </w:t>
      </w:r>
      <w:r w:rsidRPr="00F37166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в части обеспечения возможности подачи </w:t>
      </w:r>
      <w:r w:rsidRPr="00F37166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lastRenderedPageBreak/>
        <w:t xml:space="preserve">предварительного уведомления посредством использования личного кабинета </w:t>
      </w:r>
      <w:r w:rsidR="00814A85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br/>
      </w:r>
      <w:r w:rsidRPr="00F37166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в ГИС ЭПД </w:t>
      </w:r>
      <w:r w:rsidR="006850CE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целях информационного обеспечения </w:t>
      </w:r>
      <w:r w:rsidR="00246CD3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>и минимизации времени провед</w:t>
      </w:r>
      <w:r w:rsidR="00814A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ения государственного контроля </w:t>
      </w:r>
      <w:r w:rsidR="00246CD3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>в автомобильных пунктах пропуска</w:t>
      </w:r>
      <w:r w:rsidR="00F84A45"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>, заключающегося в предварительном информировании государственных контрольных органов, посредством представления информации о транспортном средстве и лицах, следующих на нем, а также о перевозимом на транспортном средстве грузе (товарах).</w:t>
      </w:r>
    </w:p>
    <w:p w14:paraId="54D6B359" w14:textId="4A99D795" w:rsidR="00227C0C" w:rsidRPr="00F37166" w:rsidRDefault="001330A3" w:rsidP="006850CE">
      <w:pPr>
        <w:keepNext/>
        <w:keepLines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>В целях исполнения пункта 20 перечня поручений № Пр-616 требуется оптимизация осуществления государственного контроля в пунктах пропуска, выраженная в использовании современных информационных систем, позволяющая обеспечить подачу предварительного уведомления, содержащего сведения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br/>
        <w:t>о грузовых транспортных средствах</w:t>
      </w:r>
      <w:r w:rsidR="006850CE"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и следующих на них лицах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, перевозимых грузах (товарах), следующих через государственную границу Российской Федерации, </w:t>
      </w:r>
      <w:r w:rsidR="006850CE" w:rsidRPr="00F371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>в адрес государственных контрольных органов, осуществляющих государственный контроль в пунктах пропуска</w:t>
      </w:r>
      <w:r w:rsidR="00806B57" w:rsidRPr="00F37166">
        <w:rPr>
          <w:rFonts w:ascii="Times New Roman" w:hAnsi="Times New Roman" w:cs="Times New Roman"/>
          <w:color w:val="000000"/>
          <w:sz w:val="28"/>
          <w:szCs w:val="28"/>
        </w:rPr>
        <w:t>, до прибытия грузового транспортного средства в пункт пропуска.</w:t>
      </w:r>
    </w:p>
    <w:p w14:paraId="4BAB3406" w14:textId="77777777" w:rsidR="00227C0C" w:rsidRPr="00F37166" w:rsidRDefault="001330A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>Правом Евразийского экономического союза и законодательством Российской Федерации о таможенном регулировании предусмотрена подача предварительной информации таможенным органам.</w:t>
      </w:r>
    </w:p>
    <w:p w14:paraId="01F7AA18" w14:textId="77777777" w:rsidR="00227C0C" w:rsidRPr="00F37166" w:rsidRDefault="001330A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>В соответствии с пунктом 1 статьи 11 Таможенного кодекса Евразийского экономического союза (далее – ТК ЕАЭС) целью представления предварительной информации является получение таможенными органами сведений о товарах, планируемых к перемещению через таможенную границу Союза, для оценки рисков и принятия предварительных решений о выборе объектов, форм таможенного контроля и мер, обеспечивающих проведение таможенного контроля, до прибытия товаров на таможенную территорию Союза. Предварительная информация используется таможенными органами для ускорения совершения таможенных операций и оптимизации проведения таможенного контроля.</w:t>
      </w:r>
    </w:p>
    <w:p w14:paraId="1544FB04" w14:textId="77777777" w:rsidR="00227C0C" w:rsidRPr="00F37166" w:rsidRDefault="001330A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>В соответствии с пунктами 2 и 3 статьи 11 ТК ЕАЭС состав представляемой таможенным органам предварительной информации в зависимости от целей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br/>
        <w:t>ее использования подразделяется на состав предварительной информации, используемой таможенными органами для:</w:t>
      </w:r>
    </w:p>
    <w:p w14:paraId="125E86F3" w14:textId="77777777" w:rsidR="00227C0C" w:rsidRPr="00F37166" w:rsidRDefault="001330A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>1) оценки рисков и принятия предварительных решений о выборе объектов, форм таможенного контроля и мер, обеспечивающих проведение таможенного контроля;</w:t>
      </w:r>
    </w:p>
    <w:p w14:paraId="4F6BCF20" w14:textId="77777777" w:rsidR="00227C0C" w:rsidRPr="00F37166" w:rsidRDefault="001330A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>2) ускорения совершения таможенных операций и оптимизации проведения таможенного контроля.</w:t>
      </w:r>
    </w:p>
    <w:p w14:paraId="75F5D6F6" w14:textId="77777777" w:rsidR="00227C0C" w:rsidRPr="00F37166" w:rsidRDefault="001330A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>В обязательном порядке представляется предварительная информация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br/>
        <w:t>в составе, определяемом для целей, предусмотренных подпунктом 1 пункта 2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br/>
        <w:t>статьи 11 ТК ЕАЭС.</w:t>
      </w:r>
    </w:p>
    <w:p w14:paraId="7344A17C" w14:textId="77777777" w:rsidR="00227C0C" w:rsidRPr="00F37166" w:rsidRDefault="001330A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>Предварительная информация в составе, определяемом для целей, предусмотренных подпунктом 2 пункта 2 статьи 11 ТК ЕАЭС, представляется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br/>
        <w:t>по желанию лиц, которые могут ее представлять.</w:t>
      </w:r>
    </w:p>
    <w:p w14:paraId="2AF417A5" w14:textId="2274A2C4" w:rsidR="00227C0C" w:rsidRPr="00F37166" w:rsidRDefault="001330A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настоящее время предварительная информация подается </w:t>
      </w:r>
      <w:r w:rsidR="006850CE"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исключительно </w:t>
      </w:r>
      <w:r w:rsidR="006850CE" w:rsidRPr="00F3716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адрес таможенного органа 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>и используется</w:t>
      </w:r>
      <w:r w:rsidR="006850CE"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им. </w:t>
      </w:r>
    </w:p>
    <w:p w14:paraId="713BE9AF" w14:textId="7CA2DC65" w:rsidR="00227C0C" w:rsidRPr="00F37166" w:rsidRDefault="001330A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Вместе с тем обеспечение возможности получения предварительного уведомления, содержащего сведения, необходимые для оценки рисков и принятия предварительных решений о выборе объектов, форм контроля и мер, обеспечивающих проведение контроля до прибытия товаров на территорию пункта пропуска всеми государственными контрольными органами, позволит существенно сократить время осуществления государственного контроля в автомобильных пунктах пропуска за счет предварительного анализа информации о грузовом транспортном средстве, его водителе</w:t>
      </w:r>
      <w:r w:rsidR="00806B57" w:rsidRPr="00F37166">
        <w:rPr>
          <w:rFonts w:ascii="Times New Roman" w:hAnsi="Times New Roman" w:cs="Times New Roman"/>
          <w:color w:val="000000"/>
          <w:sz w:val="28"/>
          <w:szCs w:val="28"/>
        </w:rPr>
        <w:t>, лицах, следующих с ним,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и грузах (товарах), </w:t>
      </w:r>
      <w:r w:rsidR="00806B57" w:rsidRPr="00F371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>а также исключить часть временных издержек при осуществлении государственного контроля</w:t>
      </w:r>
      <w:r w:rsidR="00806B57" w:rsidRPr="00F3716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280C920" w14:textId="5260411D" w:rsidR="00227C0C" w:rsidRPr="00F37166" w:rsidRDefault="001330A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>При этом реализацию механизма направления российскими и иностранными перевозчиками, а также лицами, действующими по их поручению, предварительного уведомления в адрес государственных контрольных органов, осуществляющих пограничный, таможенный и иные виды контроля</w:t>
      </w:r>
      <w:r w:rsidR="00322E00"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>в автомобильных пунктах пропуска, планируется реализовать на добровольной основе посредством использования личного кабинета в ГИС ЭПД.</w:t>
      </w:r>
    </w:p>
    <w:p w14:paraId="7F6DEB17" w14:textId="5D034E3B" w:rsidR="00806B57" w:rsidRPr="00F37166" w:rsidRDefault="00DD0F5E" w:rsidP="00DD0F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>Проект</w:t>
      </w:r>
      <w:r w:rsidR="000F42F3" w:rsidRPr="00F37166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предусматривает</w:t>
      </w:r>
      <w:r w:rsidR="000F42F3" w:rsidRPr="00F37166">
        <w:rPr>
          <w:rFonts w:ascii="Times New Roman" w:hAnsi="Times New Roman" w:cs="Times New Roman"/>
          <w:color w:val="000000"/>
          <w:sz w:val="28"/>
          <w:szCs w:val="28"/>
        </w:rPr>
        <w:t>ся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направления перевозчиком предварительного уведомления</w:t>
      </w:r>
      <w:r w:rsidR="00806B57"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двумя способами:</w:t>
      </w:r>
    </w:p>
    <w:p w14:paraId="60ED05BF" w14:textId="77777777" w:rsidR="00806B57" w:rsidRPr="00F37166" w:rsidRDefault="00806B57" w:rsidP="00DD0F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>1. С</w:t>
      </w:r>
      <w:r w:rsidR="00DD0F5E" w:rsidRPr="00F37166">
        <w:rPr>
          <w:rFonts w:ascii="Times New Roman" w:hAnsi="Times New Roman" w:cs="Times New Roman"/>
          <w:color w:val="000000"/>
          <w:sz w:val="28"/>
          <w:szCs w:val="28"/>
        </w:rPr>
        <w:t>одержащего в своем составе предварительную информацию (в соответствии с пунктом 2 статьи 11 ТК ЕАЭС) и дополнительных сведений, необходимых государственным контрольным органам, перечень которых будет утвержден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0F5E" w:rsidRPr="00F37166">
        <w:rPr>
          <w:rFonts w:ascii="Times New Roman" w:hAnsi="Times New Roman" w:cs="Times New Roman"/>
          <w:color w:val="000000"/>
          <w:sz w:val="28"/>
          <w:szCs w:val="28"/>
        </w:rPr>
        <w:t>Правительством Российской Федерации (далее – дополнительные сведения)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D0F5E"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9C2BFA4" w14:textId="0A8BAC63" w:rsidR="00806B57" w:rsidRPr="00F37166" w:rsidRDefault="00806B57" w:rsidP="00DD0F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Данный способ позволяет обеспечить </w:t>
      </w:r>
      <w:r w:rsidR="00DD0F5E" w:rsidRPr="00F37166">
        <w:rPr>
          <w:rFonts w:ascii="Times New Roman" w:hAnsi="Times New Roman" w:cs="Times New Roman"/>
          <w:color w:val="000000"/>
          <w:sz w:val="28"/>
          <w:szCs w:val="28"/>
        </w:rPr>
        <w:t>реализаци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ю </w:t>
      </w:r>
      <w:r w:rsidR="00DD0F5E"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принципа «Единого окна» 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br/>
        <w:t>за счет</w:t>
      </w:r>
      <w:r w:rsidR="00DD0F5E"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отсутствия необходимости подачи информации в несколько 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ведомственных </w:t>
      </w:r>
      <w:r w:rsidR="00DD0F5E" w:rsidRPr="00F37166">
        <w:rPr>
          <w:rFonts w:ascii="Times New Roman" w:hAnsi="Times New Roman" w:cs="Times New Roman"/>
          <w:color w:val="000000"/>
          <w:sz w:val="28"/>
          <w:szCs w:val="28"/>
        </w:rPr>
        <w:t>информационных систем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E354D81" w14:textId="7EE9FB39" w:rsidR="00DD0F5E" w:rsidRPr="00F37166" w:rsidRDefault="00806B57" w:rsidP="00DD0F5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>2. Н</w:t>
      </w:r>
      <w:r w:rsidR="00DD0F5E" w:rsidRPr="00F37166">
        <w:rPr>
          <w:rFonts w:ascii="Times New Roman" w:hAnsi="Times New Roman" w:cs="Times New Roman"/>
          <w:color w:val="000000"/>
          <w:sz w:val="28"/>
          <w:szCs w:val="28"/>
        </w:rPr>
        <w:t>аправление предварительного уведомления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D0F5E"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содержащего регистрационный номер предварительной информации, </w:t>
      </w:r>
      <w:r w:rsidR="000F42F3" w:rsidRPr="00F37166">
        <w:rPr>
          <w:rFonts w:ascii="Times New Roman" w:hAnsi="Times New Roman" w:cs="Times New Roman"/>
          <w:color w:val="000000"/>
          <w:sz w:val="28"/>
          <w:szCs w:val="28"/>
        </w:rPr>
        <w:t>присвоенный информационной системой</w:t>
      </w:r>
      <w:r w:rsidR="00DD0F5E"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таможенного органа, и дополнительных сведений </w:t>
      </w:r>
      <w:r w:rsidR="000F42F3" w:rsidRPr="00F3716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D0F5E" w:rsidRPr="00F37166">
        <w:rPr>
          <w:rFonts w:ascii="Times New Roman" w:hAnsi="Times New Roman" w:cs="Times New Roman"/>
          <w:color w:val="000000"/>
          <w:sz w:val="28"/>
          <w:szCs w:val="28"/>
        </w:rPr>
        <w:t>(в случае если перевозчиком предварительная информация уже представлена таможенному органу).</w:t>
      </w:r>
    </w:p>
    <w:p w14:paraId="56719386" w14:textId="249F7D19" w:rsidR="00DD0F5E" w:rsidRPr="00F37166" w:rsidRDefault="000F42F3" w:rsidP="00F84A45">
      <w:pPr>
        <w:widowControl w:val="0"/>
        <w:spacing w:after="0" w:line="240" w:lineRule="auto"/>
        <w:ind w:firstLine="709"/>
        <w:jc w:val="both"/>
        <w:rPr>
          <w:rFonts w:ascii="Times New Roman" w:eastAsia="Georgia" w:hAnsi="Times New Roman" w:cs="Times New Roman"/>
          <w:sz w:val="28"/>
          <w:szCs w:val="36"/>
        </w:rPr>
      </w:pPr>
      <w:r w:rsidRPr="00F37166">
        <w:rPr>
          <w:rFonts w:ascii="Times New Roman" w:hAnsi="Times New Roman" w:cs="Times New Roman"/>
          <w:sz w:val="28"/>
          <w:szCs w:val="28"/>
        </w:rPr>
        <w:t xml:space="preserve">Вместе с тем проектом федерального закона в соответствии с частью первой статьи 6 63-ФЗ «Об электронной подписи» предусматривается, что информация </w:t>
      </w:r>
      <w:r w:rsidRPr="00F37166">
        <w:rPr>
          <w:rFonts w:ascii="Times New Roman" w:hAnsi="Times New Roman" w:cs="Times New Roman"/>
          <w:sz w:val="28"/>
          <w:szCs w:val="28"/>
        </w:rPr>
        <w:br/>
        <w:t>и сведения, содержащиеся в предварительном уведомлении, подписанные усиленной квалифицированной электронной подписью</w:t>
      </w:r>
      <w:r w:rsidR="00265790" w:rsidRPr="00F37166">
        <w:rPr>
          <w:rFonts w:ascii="Times New Roman" w:hAnsi="Times New Roman" w:cs="Times New Roman"/>
          <w:sz w:val="28"/>
          <w:szCs w:val="28"/>
        </w:rPr>
        <w:t xml:space="preserve"> или усиленной </w:t>
      </w:r>
      <w:r w:rsidR="005A52C2" w:rsidRPr="00F37166">
        <w:rPr>
          <w:rFonts w:ascii="Times New Roman" w:hAnsi="Times New Roman" w:cs="Times New Roman"/>
          <w:sz w:val="28"/>
          <w:szCs w:val="28"/>
        </w:rPr>
        <w:t>неквалифицированной электронной подписью</w:t>
      </w:r>
      <w:r w:rsidR="0055068E" w:rsidRPr="00F37166">
        <w:rPr>
          <w:rFonts w:ascii="Times New Roman" w:hAnsi="Times New Roman" w:cs="Times New Roman"/>
          <w:sz w:val="28"/>
          <w:szCs w:val="28"/>
        </w:rPr>
        <w:t xml:space="preserve"> (далее соответственно – УКЭП, НУКЭП)</w:t>
      </w:r>
      <w:r w:rsidRPr="00F37166">
        <w:rPr>
          <w:rFonts w:ascii="Times New Roman" w:eastAsia="Georgia" w:hAnsi="Times New Roman" w:cs="Times New Roman"/>
          <w:sz w:val="28"/>
          <w:szCs w:val="36"/>
        </w:rPr>
        <w:t>, признаются электронными документами, равнозначными документам на бумажном носителе, подписанным собственноручной подписью</w:t>
      </w:r>
      <w:r w:rsidR="00587E55" w:rsidRPr="00F37166">
        <w:rPr>
          <w:rFonts w:ascii="Times New Roman" w:eastAsia="Georgia" w:hAnsi="Times New Roman" w:cs="Times New Roman"/>
          <w:sz w:val="28"/>
          <w:szCs w:val="36"/>
        </w:rPr>
        <w:t xml:space="preserve"> (за исключением случаев, если федеральными законами, международными договорами Российской Федерации, актами, составляющими право Евразийского экономического союза, либо принятыми в соответствии с ними нормативными правовыми актами установлено требование о представлении документов на бумажном носителе)</w:t>
      </w:r>
      <w:r w:rsidRPr="00F37166">
        <w:rPr>
          <w:rFonts w:ascii="Times New Roman" w:eastAsia="Georgia" w:hAnsi="Times New Roman" w:cs="Times New Roman"/>
          <w:sz w:val="28"/>
          <w:szCs w:val="36"/>
        </w:rPr>
        <w:t>, что также позволяет минимизировать бумажный документооборот в пунктах пропуска.</w:t>
      </w:r>
    </w:p>
    <w:p w14:paraId="42292F5E" w14:textId="66ECAC36" w:rsidR="000F42F3" w:rsidRPr="00F37166" w:rsidRDefault="000F42F3" w:rsidP="000F42F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>Формат, состав сведений, включаемых  в предварительное уведомление</w:t>
      </w:r>
      <w:r w:rsidR="005A52C2"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2C2" w:rsidRPr="00F3716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(с учетом перечня информации, предусмотренной Решением Коллегии Евразийской экономической комиссии от 17 апреля 2018 г. № 56 «Об утверждении Порядка </w:t>
      </w:r>
      <w:r w:rsidR="005A52C2" w:rsidRPr="00F3716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представления предварительной информации о товарах, предполагаемых к ввозу </w:t>
      </w:r>
      <w:r w:rsidR="005A52C2" w:rsidRPr="00F37166">
        <w:rPr>
          <w:rFonts w:ascii="Times New Roman" w:hAnsi="Times New Roman" w:cs="Times New Roman"/>
          <w:color w:val="000000"/>
          <w:sz w:val="28"/>
          <w:szCs w:val="28"/>
        </w:rPr>
        <w:br/>
        <w:t>на таможенную территорию Евразийского экономического союза автомобильным транспортом»)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, срок направления предварительного уведомления в ГИС ЭПД, порядок его направления, обработки и регистрации, рассмотрения, срок хранения, использования и перечень государственных контрольных органов использующих предварительное уведомление, а также перечень автомобильных пунктов пропуска, </w:t>
      </w:r>
      <w:r w:rsidR="005A52C2" w:rsidRPr="00F371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в которых реализуется возможность подачи предварительного уведомления, предлагается определить нормативным правовым актом Правительства </w:t>
      </w:r>
      <w:r w:rsidR="005A52C2" w:rsidRPr="00F3716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Федерации.</w:t>
      </w:r>
    </w:p>
    <w:p w14:paraId="67B42F1A" w14:textId="77777777" w:rsidR="0055068E" w:rsidRPr="00F37166" w:rsidRDefault="0055068E" w:rsidP="0055068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Направление </w:t>
      </w:r>
      <w:r w:rsidRPr="00F37166">
        <w:rPr>
          <w:rFonts w:ascii="Times New Roman" w:hAnsi="Times New Roman" w:cs="Times New Roman"/>
          <w:sz w:val="28"/>
          <w:szCs w:val="28"/>
        </w:rPr>
        <w:t xml:space="preserve">предварительного уведомления посредством личного кабинета российского перевозчика, иностранного перевозчика, а также лиц, действующих по их поручению, в ГИС ЭПД предлагается осуществлять на безвозмездной основе путем использования личного кабинета российского перевозчика, иностранного перевозчика или лиц, действующих по их поручению. </w:t>
      </w:r>
    </w:p>
    <w:p w14:paraId="5AB993A2" w14:textId="4059347E" w:rsidR="0055068E" w:rsidRPr="00F37166" w:rsidRDefault="0055068E" w:rsidP="0055068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sz w:val="28"/>
          <w:szCs w:val="28"/>
        </w:rPr>
        <w:t xml:space="preserve">Вместе с тем принимая во внимание необходимость подписания предварительного уведомления с использованием УКЭП или НУКЭП, </w:t>
      </w:r>
      <w:r w:rsidRPr="00F37166">
        <w:rPr>
          <w:rFonts w:ascii="Times New Roman" w:hAnsi="Times New Roman" w:cs="Times New Roman"/>
          <w:sz w:val="28"/>
          <w:szCs w:val="28"/>
        </w:rPr>
        <w:br/>
        <w:t>которые имеются не у всех иностранных перевозчиков, проектом федерального закона предусматривается возможность направления предварительного уведомления посредством операторов информационных систем предварительного уведомления, в том числе такая возможность присутствует и для российских перевозчиков.</w:t>
      </w:r>
    </w:p>
    <w:p w14:paraId="2EB9DF8A" w14:textId="2BDE01C6" w:rsidR="0055068E" w:rsidRPr="00F37166" w:rsidRDefault="0055068E" w:rsidP="0055068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166">
        <w:rPr>
          <w:rFonts w:ascii="Times New Roman" w:hAnsi="Times New Roman" w:cs="Times New Roman"/>
          <w:sz w:val="28"/>
          <w:szCs w:val="28"/>
        </w:rPr>
        <w:t xml:space="preserve">Технические требования к информационным системам предварительного уведомления, требования к операторам информационных систем предварительного уведомления и порядок их взаимодействия с государственной информационной системой электронных перевозочных документов, а также порядок формирования и ведения реестра операторов информационных систем предварительного уведомления, включения в него и исключения из него юридических лиц </w:t>
      </w:r>
      <w:r w:rsidR="00603301" w:rsidRPr="00F37166">
        <w:rPr>
          <w:rFonts w:ascii="Times New Roman" w:hAnsi="Times New Roman" w:cs="Times New Roman"/>
          <w:sz w:val="28"/>
          <w:szCs w:val="28"/>
        </w:rPr>
        <w:t>будут установлены Министерством транспорта Российской Федерации.</w:t>
      </w:r>
    </w:p>
    <w:p w14:paraId="5DD537E7" w14:textId="46CE9843" w:rsidR="00806B57" w:rsidRPr="00F37166" w:rsidRDefault="00603301" w:rsidP="0060330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В целях полноценной реализации возможности направления предварительного уведомления, содержащего в своем составе предварительную информацию 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(в соответствии с пунктом 2 статьи 11 ТК ЕАЭС) проектом федерального закона 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 учетом подпункта 3 статьи 282 федерального закона от 03.08.2018 № 289-ФЗ 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таможенном регулировании в Российской Федерации и о внесении изменений 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отдельные законодательные акты Российской Федерации» предусматривается закрепить положение о том, что ГИС ЭПД является </w:t>
      </w:r>
      <w:r w:rsidRPr="00F37166">
        <w:rPr>
          <w:rFonts w:ascii="Times New Roman" w:hAnsi="Times New Roman" w:cs="Times New Roman"/>
          <w:sz w:val="28"/>
          <w:szCs w:val="28"/>
        </w:rPr>
        <w:t xml:space="preserve">информационной системой, </w:t>
      </w:r>
      <w:r w:rsidR="00150083" w:rsidRPr="00F37166">
        <w:rPr>
          <w:rFonts w:ascii="Times New Roman" w:hAnsi="Times New Roman" w:cs="Times New Roman"/>
          <w:sz w:val="28"/>
          <w:szCs w:val="28"/>
        </w:rPr>
        <w:br/>
      </w:r>
      <w:r w:rsidRPr="00F37166">
        <w:rPr>
          <w:rFonts w:ascii="Times New Roman" w:hAnsi="Times New Roman" w:cs="Times New Roman"/>
          <w:sz w:val="28"/>
          <w:szCs w:val="28"/>
        </w:rPr>
        <w:t xml:space="preserve">в том числе используемой для взаимодействия с информационными системами таможенных органов при представлении предварительной информации </w:t>
      </w:r>
      <w:r w:rsidR="00150083" w:rsidRPr="00F37166">
        <w:rPr>
          <w:rFonts w:ascii="Times New Roman" w:hAnsi="Times New Roman" w:cs="Times New Roman"/>
          <w:sz w:val="28"/>
          <w:szCs w:val="28"/>
        </w:rPr>
        <w:br/>
      </w:r>
      <w:r w:rsidRPr="00F37166">
        <w:rPr>
          <w:rFonts w:ascii="Times New Roman" w:hAnsi="Times New Roman" w:cs="Times New Roman"/>
          <w:sz w:val="28"/>
          <w:szCs w:val="28"/>
        </w:rPr>
        <w:t>в соответствии со статьей 11 Таможенного кодекса Евразийского экономического союза.</w:t>
      </w:r>
    </w:p>
    <w:p w14:paraId="2D7D9776" w14:textId="610B14E3" w:rsidR="00227C0C" w:rsidRPr="00F37166" w:rsidRDefault="001330A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принятие проекта федерального закона не противоречит действующему законодательству Российской Федерации о таможенном регулировании, о государственном контроле за осуществлением международных автомобильных перевозок, праву Евразийского экономического союза и направлено на </w:t>
      </w: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>ускорения проведения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государственного контроля</w:t>
      </w:r>
      <w:r w:rsidR="005A52C2" w:rsidRPr="00F3716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его оптимизацию</w:t>
      </w:r>
      <w:r w:rsidR="005A52C2" w:rsidRPr="00F371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52C2" w:rsidRPr="00F37166">
        <w:rPr>
          <w:rFonts w:ascii="Times New Roman" w:hAnsi="Times New Roman" w:cs="Times New Roman"/>
          <w:color w:val="000000"/>
          <w:sz w:val="28"/>
          <w:szCs w:val="28"/>
        </w:rPr>
        <w:br/>
        <w:t>и минимизацию бумажного документооборота в автомобильных пунктах пропуска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62856AB" w14:textId="77777777" w:rsidR="00227C0C" w:rsidRPr="00F37166" w:rsidRDefault="00227C0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7DB5D9" w14:textId="77777777" w:rsidR="00227C0C" w:rsidRPr="00F37166" w:rsidRDefault="001330A3">
      <w:pPr>
        <w:widowControl w:val="0"/>
        <w:tabs>
          <w:tab w:val="center" w:pos="1474"/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Принятие проекта федерального закона не повлечет негативных социально-экономических, финансовых и иных последствий, реализация его положений будет осуществляться Минтрансом России в пределах, установленных Правительством Российской Федерации, предельной численности и фонда оплаты труда государственных гражданских служащих Минтранса России, а также ассигнований, предусмотренных Минтрансу России в федеральном бюджете на руководство</w:t>
      </w:r>
      <w:r w:rsidRPr="00F37166">
        <w:rPr>
          <w:rFonts w:ascii="Times New Roman" w:hAnsi="Times New Roman" w:cs="Times New Roman"/>
          <w:color w:val="000000"/>
          <w:sz w:val="28"/>
          <w:szCs w:val="28"/>
        </w:rPr>
        <w:br/>
        <w:t>и управление в сфере установленных функций.</w:t>
      </w:r>
    </w:p>
    <w:p w14:paraId="37B63A0C" w14:textId="77777777" w:rsidR="00227C0C" w:rsidRPr="00F37166" w:rsidRDefault="001330A3">
      <w:pPr>
        <w:widowControl w:val="0"/>
        <w:tabs>
          <w:tab w:val="center" w:pos="1474"/>
          <w:tab w:val="left" w:pos="836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Реализация предлагаемых решений не повлияет на достижение целей государственных программ Российской Федерации.</w:t>
      </w:r>
    </w:p>
    <w:p w14:paraId="6FBC3953" w14:textId="77777777" w:rsidR="00227C0C" w:rsidRPr="00F37166" w:rsidRDefault="001330A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федерального закона соответствует положениям Договора</w:t>
      </w:r>
      <w:r w:rsidRPr="00F3716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 Евразийском экономическом союзе, а также положениям иных международных договоров Российской Федерации.</w:t>
      </w:r>
    </w:p>
    <w:p w14:paraId="22F021E9" w14:textId="77777777" w:rsidR="00227C0C" w:rsidRPr="00F37166" w:rsidRDefault="00227C0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227C0C" w:rsidRPr="00F37166">
      <w:headerReference w:type="default" r:id="rId7"/>
      <w:headerReference w:type="first" r:id="rId8"/>
      <w:pgSz w:w="11906" w:h="16838"/>
      <w:pgMar w:top="1078" w:right="567" w:bottom="1134" w:left="1134" w:header="567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9C50E9" w14:textId="77777777" w:rsidR="004F4ED6" w:rsidRDefault="004F4ED6">
      <w:pPr>
        <w:spacing w:after="0" w:line="240" w:lineRule="auto"/>
      </w:pPr>
      <w:r>
        <w:separator/>
      </w:r>
    </w:p>
  </w:endnote>
  <w:endnote w:type="continuationSeparator" w:id="0">
    <w:p w14:paraId="2E9819F7" w14:textId="77777777" w:rsidR="004F4ED6" w:rsidRDefault="004F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4C0593" w14:textId="77777777" w:rsidR="004F4ED6" w:rsidRDefault="004F4ED6">
      <w:pPr>
        <w:spacing w:after="0" w:line="240" w:lineRule="auto"/>
      </w:pPr>
      <w:r>
        <w:separator/>
      </w:r>
    </w:p>
  </w:footnote>
  <w:footnote w:type="continuationSeparator" w:id="0">
    <w:p w14:paraId="7AC5FD07" w14:textId="77777777" w:rsidR="004F4ED6" w:rsidRDefault="004F4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DE606C" w14:textId="67BC6297" w:rsidR="00227C0C" w:rsidRDefault="001330A3">
    <w:pPr>
      <w:pStyle w:val="a9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</w:instrText>
    </w:r>
    <w:r>
      <w:rPr>
        <w:rFonts w:ascii="Times New Roman" w:hAnsi="Times New Roman"/>
        <w:sz w:val="24"/>
        <w:szCs w:val="24"/>
      </w:rPr>
      <w:fldChar w:fldCharType="separate"/>
    </w:r>
    <w:r w:rsidR="00BA7DF1">
      <w:rPr>
        <w:rFonts w:ascii="Times New Roman" w:hAnsi="Times New Roman"/>
        <w:noProof/>
        <w:sz w:val="24"/>
        <w:szCs w:val="24"/>
      </w:rPr>
      <w:t>5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749D39" w14:textId="77777777" w:rsidR="00227C0C" w:rsidRDefault="00227C0C">
    <w:pPr>
      <w:pStyle w:val="a9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C0C"/>
    <w:rsid w:val="0008797A"/>
    <w:rsid w:val="000D3B65"/>
    <w:rsid w:val="000D50C0"/>
    <w:rsid w:val="000F42F3"/>
    <w:rsid w:val="001330A3"/>
    <w:rsid w:val="001472D2"/>
    <w:rsid w:val="00150083"/>
    <w:rsid w:val="00227C0C"/>
    <w:rsid w:val="002314FC"/>
    <w:rsid w:val="00246CD3"/>
    <w:rsid w:val="00262E1F"/>
    <w:rsid w:val="00265790"/>
    <w:rsid w:val="002F72AE"/>
    <w:rsid w:val="00302C13"/>
    <w:rsid w:val="00322E00"/>
    <w:rsid w:val="003703D2"/>
    <w:rsid w:val="00424835"/>
    <w:rsid w:val="00424EDE"/>
    <w:rsid w:val="00442F0C"/>
    <w:rsid w:val="00494029"/>
    <w:rsid w:val="004F4ED6"/>
    <w:rsid w:val="00522221"/>
    <w:rsid w:val="00524B7A"/>
    <w:rsid w:val="0055068E"/>
    <w:rsid w:val="00587E55"/>
    <w:rsid w:val="005A52C2"/>
    <w:rsid w:val="005E7731"/>
    <w:rsid w:val="00603301"/>
    <w:rsid w:val="00664436"/>
    <w:rsid w:val="00666CD4"/>
    <w:rsid w:val="006850CE"/>
    <w:rsid w:val="0070082D"/>
    <w:rsid w:val="00721F99"/>
    <w:rsid w:val="007445B9"/>
    <w:rsid w:val="00806B57"/>
    <w:rsid w:val="008078A8"/>
    <w:rsid w:val="00814A85"/>
    <w:rsid w:val="00832AC6"/>
    <w:rsid w:val="00872A5B"/>
    <w:rsid w:val="00943DD0"/>
    <w:rsid w:val="00A5294A"/>
    <w:rsid w:val="00AA6D13"/>
    <w:rsid w:val="00AF4008"/>
    <w:rsid w:val="00B70E3E"/>
    <w:rsid w:val="00BA1321"/>
    <w:rsid w:val="00BA7DF1"/>
    <w:rsid w:val="00C6457A"/>
    <w:rsid w:val="00DB64BB"/>
    <w:rsid w:val="00DD0F5E"/>
    <w:rsid w:val="00E24EAE"/>
    <w:rsid w:val="00E85696"/>
    <w:rsid w:val="00EC7705"/>
    <w:rsid w:val="00F306E2"/>
    <w:rsid w:val="00F37166"/>
    <w:rsid w:val="00F77B90"/>
    <w:rsid w:val="00F84A45"/>
    <w:rsid w:val="00F9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66D9F"/>
  <w15:docId w15:val="{C9754A0E-9DA1-4B3F-BDCA-804E2C23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11">
    <w:name w:val="Верхний колонтитул Знак1"/>
    <w:basedOn w:val="a0"/>
    <w:link w:val="a9"/>
    <w:uiPriority w:val="99"/>
    <w:qFormat/>
  </w:style>
  <w:style w:type="character" w:customStyle="1" w:styleId="12">
    <w:name w:val="Нижний колонтитул Знак1"/>
    <w:basedOn w:val="a0"/>
    <w:link w:val="aa"/>
    <w:uiPriority w:val="99"/>
    <w:qFormat/>
  </w:style>
  <w:style w:type="character" w:customStyle="1" w:styleId="ab">
    <w:name w:val="Название объекта Знак"/>
    <w:basedOn w:val="a0"/>
    <w:link w:val="ac"/>
    <w:uiPriority w:val="35"/>
    <w:qFormat/>
    <w:rPr>
      <w:b/>
      <w:bCs/>
      <w:color w:val="4F81BD" w:themeColor="accent1"/>
      <w:sz w:val="18"/>
      <w:szCs w:val="18"/>
    </w:r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character" w:customStyle="1" w:styleId="ae">
    <w:name w:val="Текст сноски Знак"/>
    <w:link w:val="af"/>
    <w:uiPriority w:val="99"/>
    <w:qFormat/>
    <w:rPr>
      <w:sz w:val="18"/>
    </w:rPr>
  </w:style>
  <w:style w:type="character" w:customStyle="1" w:styleId="af0">
    <w:name w:val="Символ сноски"/>
    <w:uiPriority w:val="99"/>
    <w:unhideWhenUsed/>
    <w:qFormat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af2">
    <w:name w:val="Текст концевой сноски Знак"/>
    <w:link w:val="af3"/>
    <w:uiPriority w:val="99"/>
    <w:qFormat/>
    <w:rPr>
      <w:sz w:val="20"/>
    </w:rPr>
  </w:style>
  <w:style w:type="character" w:customStyle="1" w:styleId="af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styleId="af6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7">
    <w:name w:val="Текст примечания Знак"/>
    <w:basedOn w:val="a0"/>
    <w:uiPriority w:val="99"/>
    <w:semiHidden/>
    <w:qFormat/>
    <w:rPr>
      <w:sz w:val="20"/>
      <w:szCs w:val="20"/>
    </w:rPr>
  </w:style>
  <w:style w:type="character" w:customStyle="1" w:styleId="af8">
    <w:name w:val="Тема примечания Знак"/>
    <w:basedOn w:val="af7"/>
    <w:uiPriority w:val="99"/>
    <w:semiHidden/>
    <w:qFormat/>
    <w:rPr>
      <w:b/>
      <w:bCs/>
      <w:sz w:val="20"/>
      <w:szCs w:val="20"/>
    </w:rPr>
  </w:style>
  <w:style w:type="character" w:customStyle="1" w:styleId="af9">
    <w:name w:val="Текст выноски Знак"/>
    <w:basedOn w:val="a0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afa">
    <w:name w:val="Верхний колонтитул Знак"/>
    <w:basedOn w:val="a0"/>
    <w:uiPriority w:val="99"/>
    <w:qFormat/>
  </w:style>
  <w:style w:type="character" w:customStyle="1" w:styleId="afb">
    <w:name w:val="Нижний колонтитул Знак"/>
    <w:basedOn w:val="a0"/>
    <w:uiPriority w:val="99"/>
    <w:qFormat/>
  </w:style>
  <w:style w:type="character" w:customStyle="1" w:styleId="13">
    <w:name w:val="Номер строки1"/>
  </w:style>
  <w:style w:type="paragraph" w:customStyle="1" w:styleId="14">
    <w:name w:val="Заголовок1"/>
    <w:basedOn w:val="a"/>
    <w:next w:val="afc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c">
    <w:name w:val="Body Text"/>
    <w:basedOn w:val="a"/>
    <w:pPr>
      <w:spacing w:after="140"/>
    </w:pPr>
  </w:style>
  <w:style w:type="paragraph" w:styleId="afd">
    <w:name w:val="List"/>
    <w:basedOn w:val="afc"/>
    <w:rPr>
      <w:rFonts w:cs="Droid Sans Devanagari"/>
    </w:rPr>
  </w:style>
  <w:style w:type="paragraph" w:styleId="ac">
    <w:name w:val="caption"/>
    <w:basedOn w:val="a"/>
    <w:link w:val="ab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e">
    <w:name w:val="index heading"/>
    <w:basedOn w:val="a"/>
    <w:qFormat/>
    <w:pPr>
      <w:suppressLineNumbers/>
    </w:pPr>
    <w:rPr>
      <w:rFonts w:cs="Droid Sans Devanagari"/>
    </w:rPr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af3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paragraph" w:styleId="15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  <w:qFormat/>
    <w:pPr>
      <w:spacing w:after="0"/>
    </w:pPr>
  </w:style>
  <w:style w:type="paragraph" w:styleId="a4">
    <w:name w:val="Title"/>
    <w:basedOn w:val="a"/>
    <w:next w:val="afc"/>
    <w:link w:val="a3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2">
    <w:name w:val="List Paragraph"/>
    <w:basedOn w:val="a"/>
    <w:qFormat/>
    <w:pPr>
      <w:ind w:left="720"/>
      <w:contextualSpacing/>
    </w:pPr>
  </w:style>
  <w:style w:type="paragraph" w:styleId="aff3">
    <w:name w:val="annotation text"/>
    <w:basedOn w:val="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next w:val="aff3"/>
    <w:uiPriority w:val="99"/>
    <w:semiHidden/>
    <w:unhideWhenUsed/>
    <w:qFormat/>
    <w:rPr>
      <w:b/>
      <w:bCs/>
    </w:rPr>
  </w:style>
  <w:style w:type="paragraph" w:styleId="aff5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aff6">
    <w:name w:val="Колонтитул"/>
    <w:basedOn w:val="a"/>
    <w:qFormat/>
  </w:style>
  <w:style w:type="paragraph" w:styleId="a9">
    <w:name w:val="header"/>
    <w:basedOn w:val="a"/>
    <w:link w:val="1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1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f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6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aliases w:val="Заголовок 3 Знак1"/>
    <w:basedOn w:val="a1"/>
    <w:link w:val="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40">
    <w:name w:val="Plain Table 4"/>
    <w:aliases w:val="Заголовок 4 Знак1"/>
    <w:basedOn w:val="a1"/>
    <w:link w:val="4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50">
    <w:name w:val="Plain Table 5"/>
    <w:aliases w:val="Заголовок 5 Знак1"/>
    <w:basedOn w:val="a1"/>
    <w:link w:val="5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05798-6CAD-480A-8CE1-728119BF4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5</Pages>
  <Words>1871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Русанов Артем Александрович</dc:creator>
  <dc:description/>
  <cp:lastModifiedBy>sf</cp:lastModifiedBy>
  <cp:revision>68</cp:revision>
  <dcterms:created xsi:type="dcterms:W3CDTF">2024-09-19T14:14:00Z</dcterms:created>
  <dcterms:modified xsi:type="dcterms:W3CDTF">2026-06-30T13:22:00Z</dcterms:modified>
  <dc:language>ru-RU</dc:language>
</cp:coreProperties>
</file>