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0C9" w:rsidRDefault="009270C9" w:rsidP="009270C9">
      <w:pPr>
        <w:spacing w:after="0" w:line="312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ПОЯСНИТЕЛЬНАЯ ЗАПИСКА</w:t>
      </w:r>
    </w:p>
    <w:p w:rsidR="009270C9" w:rsidRDefault="009270C9" w:rsidP="009270C9">
      <w:pPr>
        <w:spacing w:after="0" w:line="312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 проекту федерального закона «О внесении изменений </w:t>
      </w:r>
      <w:proofErr w:type="gramStart"/>
      <w:r>
        <w:rPr>
          <w:rFonts w:ascii="Times New Roman" w:hAnsi="Times New Roman"/>
          <w:b/>
          <w:sz w:val="28"/>
        </w:rPr>
        <w:t>в</w:t>
      </w:r>
      <w:proofErr w:type="gramEnd"/>
      <w:r>
        <w:rPr>
          <w:rFonts w:ascii="Times New Roman" w:hAnsi="Times New Roman"/>
          <w:b/>
          <w:sz w:val="28"/>
        </w:rPr>
        <w:t xml:space="preserve"> </w:t>
      </w:r>
    </w:p>
    <w:p w:rsidR="009270C9" w:rsidRDefault="009270C9" w:rsidP="009270C9">
      <w:pPr>
        <w:spacing w:after="0" w:line="312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Семейный кодекс Российской Федерации»</w:t>
      </w:r>
    </w:p>
    <w:p w:rsidR="009270C9" w:rsidRDefault="009270C9" w:rsidP="009270C9">
      <w:pPr>
        <w:spacing w:after="0" w:line="312" w:lineRule="auto"/>
        <w:ind w:firstLine="720"/>
        <w:jc w:val="center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Проект федерального закона «О внесении изменений в Семейный кодекс Российской Федерации» (далее – законопроект) разработан во исполнение Указа Президента Российской Федерации от 9 ноября 2022 г.      № 809 «Об утверждении Основ государственной политики по сохранению и укреплению традиционных российских духовно-нравственных ценностей» и Указа Президента Российской Федерации от 7 мая 2024 г. № 309 «О национальных целях развития Российской Федерации на период до 2030</w:t>
      </w:r>
      <w:proofErr w:type="gramEnd"/>
      <w:r>
        <w:rPr>
          <w:rFonts w:ascii="Times New Roman" w:hAnsi="Times New Roman"/>
          <w:sz w:val="28"/>
        </w:rPr>
        <w:t xml:space="preserve"> года и на перспективу до 2036 года».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Законопроектом предлагается внесение изменений в статью 24 Семейного кодекса Российской Федерации, которыми закрепляется порядок совместного воспитания детей родителями (далее – совместное воспитание) после расторжения брака. Также предлагается дополнить Семейный кодекс Российской Федерации (далее – СК РФ) статьей 65.1, которая будет регулировать условия установления и осуществления совместного воспитания.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Законопроект направлен на поддержку семьи и ответственного и вовлеченного отцовства и материнства, укрепление преемственности поколений, создание условий для реализации потенциала и всестороннего развития каждого ребенка и воспитания на основе традиционных ценностей патриотичной и социально ответственной личности.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данным прошедших всероссийских переписей населения доля неполных семей в Российской Федерации с 2002 года увеличилась почти вдвое и на 2020 год составляла 38,5% от всех семей, в которых воспитываются несовершеннолетние дети.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Вместе с тем уровень разводов, которые являются основной причиной возникновения неполных семей, остается критически высоким. Так, по данным Росстата в первом полугодии 2024 года в Российской Федерации зарегистрировано 373 тыс. 336 разводов, что составляет около 80% от общего количества браков, заключенных за тот же период. За полный 2023 год зарегистрировано 683 тыс. 796 разводов. А за десять лет с 2014 года по 2023 год зарегистрировано 6 млн. 305 тыс. 221 развод. Многие эксперты </w:t>
      </w:r>
      <w:r>
        <w:rPr>
          <w:rFonts w:ascii="Times New Roman" w:hAnsi="Times New Roman"/>
          <w:sz w:val="28"/>
        </w:rPr>
        <w:lastRenderedPageBreak/>
        <w:t>отмечают, что по количеству разводов наша страна занимает одно из «лидирующих» мест в мире.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9"/>
          <w:highlight w:val="white"/>
        </w:rPr>
        <w:t>Для сравнения: по данным предыдущей Всероссийской переписи населения в 2010 году доля полных семей в общей численности семей с детьми до 18 лет в 1,09 раза превышала показатель 2020 года, доля семей с одинокими матерями была ниже на 2,4 процентных пункта, а семьи, где ответственность за детей лежит на плечах одиноких отцов, фиксировались в два раза реже, чем десятилетие спустя</w:t>
      </w:r>
      <w:proofErr w:type="gramEnd"/>
      <w:r>
        <w:rPr>
          <w:rFonts w:ascii="Times New Roman" w:hAnsi="Times New Roman"/>
          <w:sz w:val="29"/>
          <w:highlight w:val="white"/>
          <w:vertAlign w:val="superscript"/>
        </w:rPr>
        <w:footnoteReference w:id="1"/>
      </w:r>
      <w:r>
        <w:rPr>
          <w:rFonts w:ascii="Times New Roman" w:hAnsi="Times New Roman"/>
          <w:sz w:val="29"/>
          <w:highlight w:val="white"/>
        </w:rPr>
        <w:t>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этом наличие детей более не является сдерживающим фактором для сохранения семьи. По данным Судебного департамента при Верховном суде Российской Федерации в 2023 году в суды общей юрисдикции поступило 469 тыс. 822 дела о расторжении брака супругов, имеющих несовершеннолетних детей. А за десять лет с 2014 года по 2023 год в суды общей юрисдикции таких дел поступило 4 млн. 115 тыс. 28.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Приведенные статистические данные свидетельствуют о том, что в России, как и во многих других странах, сформировалась новая социальная реальность, в рамках которой значительная часть детей </w:t>
      </w:r>
      <w:proofErr w:type="gramStart"/>
      <w:r>
        <w:rPr>
          <w:rFonts w:ascii="Times New Roman" w:hAnsi="Times New Roman"/>
          <w:sz w:val="28"/>
        </w:rPr>
        <w:t>вынуждена</w:t>
      </w:r>
      <w:proofErr w:type="gramEnd"/>
      <w:r>
        <w:rPr>
          <w:rFonts w:ascii="Times New Roman" w:hAnsi="Times New Roman"/>
          <w:sz w:val="28"/>
        </w:rPr>
        <w:t xml:space="preserve"> расти в условиях раздельного проживания родителей.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Согласно российскому законодательству </w:t>
      </w:r>
      <w:r>
        <w:rPr>
          <w:rFonts w:ascii="YS Text" w:hAnsi="YS Text"/>
          <w:sz w:val="28"/>
          <w:highlight w:val="white"/>
        </w:rPr>
        <w:t>расторжение брака родителей или раздельное проживание родителей не влияют на права ребёнка, так же как и отдельное проживание родителя не влияет на его право</w:t>
      </w:r>
      <w:r>
        <w:rPr>
          <w:rFonts w:ascii="Times New Roman" w:hAnsi="Times New Roman"/>
          <w:sz w:val="28"/>
          <w:highlight w:val="white"/>
        </w:rPr>
        <w:t xml:space="preserve"> в участии в воспитании ребенка</w:t>
      </w:r>
      <w:r>
        <w:rPr>
          <w:rFonts w:ascii="Times New Roman" w:hAnsi="Times New Roman"/>
          <w:sz w:val="28"/>
        </w:rPr>
        <w:t> (пункт 1 статьи 66, пункт 1 статьи 55 СК РФ). Однако на практике</w:t>
      </w:r>
      <w:r>
        <w:rPr>
          <w:rFonts w:ascii="Times New Roman" w:hAnsi="Times New Roman"/>
          <w:sz w:val="28"/>
          <w:highlight w:val="white"/>
        </w:rPr>
        <w:t xml:space="preserve"> с</w:t>
      </w:r>
      <w:r>
        <w:rPr>
          <w:rFonts w:ascii="Times New Roman" w:hAnsi="Times New Roman"/>
          <w:sz w:val="28"/>
        </w:rPr>
        <w:t xml:space="preserve">уществующие юридические механизмы такие, как соглашение, предусмотренное пунктом 1 статьи 24 СК РФ, или определение судом порядка общения с ребенком, не всегда могут эффективно обеспечить баланс прав родителей и их несовершеннолетних детей, оказавшихся в ситуации развода и раздельного проживания родителей. </w:t>
      </w:r>
      <w:proofErr w:type="gramStart"/>
      <w:r>
        <w:rPr>
          <w:rFonts w:ascii="Times New Roman" w:hAnsi="Times New Roman"/>
          <w:sz w:val="28"/>
        </w:rPr>
        <w:t>Об этом свидетельствуют статистические данные Федеральной службы судебных приставов Российской Федерации, согласно которым количество исполнительных производств об определении порядка общения с ребенком (об осуществлении в отношении ребенка прав доступа) выросло за последние десять лет в два с половиной раза (с 5 тыс. 365 в 2014 году до 13 тыс. 588 в 2023 году).</w:t>
      </w:r>
      <w:proofErr w:type="gramEnd"/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>Вместе с тем отсутствие полноценного общения с одним из родителей, что в той или иной степени касается почти всех детей, чьи родители находятся в разводе, является серьезнейшим фактором, препятствующим гармоничному развитию личности ребенка, дети из неполных семей зачастую имеют более низкую успеваемость, сниженные познавательные способности, проблемы с дисциплиной, повышенную тревожность, неадекватную самооценку, склонность к невротическим нарушениям и противоправному поведению.</w:t>
      </w:r>
      <w:proofErr w:type="gramEnd"/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</w:t>
      </w:r>
      <w:proofErr w:type="gramStart"/>
      <w:r>
        <w:rPr>
          <w:rFonts w:ascii="Times New Roman" w:hAnsi="Times New Roman"/>
          <w:sz w:val="28"/>
        </w:rPr>
        <w:t>исходя из того, что по данным Всероссийской переписи населения 2020 года более 81% неполных семей составляют</w:t>
      </w:r>
      <w:proofErr w:type="gramEnd"/>
      <w:r>
        <w:rPr>
          <w:rFonts w:ascii="Times New Roman" w:hAnsi="Times New Roman"/>
          <w:sz w:val="28"/>
        </w:rPr>
        <w:t xml:space="preserve"> одинокие матери с детьми, можно сделать вывод, что особенно остро в обществе проявляет себя дефицит отцовского воспитания. Отец в семье отвечает за формирование у ребенка таких традиционных ценностей, как патриотизм, гражданственность, служение Отечеству и ответственность за его судьбу.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преодоления указанных тенденций и обеспечения воспитания ребенка обоими родителями, всестороннего и гармоничного развития личности ребенка, укрепления связи поколений и повышения уровня патриотизма законопроектом предлагается закрепить в российском семейном законодательстве порядок совместного воспитания детей родителями. Для этого вносятся изменения в статью 24 СК РФ, предусматривающие обязанность суда при расторжении брака и отсутствии соглашения между супругами о том, с кем из них будет проживать ребенок, назначать в приоритетном порядке режим совместного воспитания вместо определения места жительства ребенка с одним из родителей. Такой</w:t>
      </w:r>
      <w:r>
        <w:rPr>
          <w:rFonts w:ascii="Times New Roman" w:hAnsi="Times New Roman"/>
          <w:sz w:val="28"/>
          <w:highlight w:val="white"/>
        </w:rPr>
        <w:t> режим подразумевает </w:t>
      </w:r>
      <w:r>
        <w:rPr>
          <w:rFonts w:ascii="Times New Roman" w:hAnsi="Times New Roman"/>
          <w:sz w:val="28"/>
        </w:rPr>
        <w:t>совместное проживание ребёнка</w:t>
      </w:r>
      <w:r>
        <w:rPr>
          <w:rFonts w:ascii="Times New Roman" w:hAnsi="Times New Roman"/>
          <w:sz w:val="28"/>
          <w:highlight w:val="white"/>
        </w:rPr>
        <w:t> поочерёдно </w:t>
      </w:r>
      <w:r>
        <w:rPr>
          <w:rFonts w:ascii="Times New Roman" w:hAnsi="Times New Roman"/>
          <w:sz w:val="28"/>
        </w:rPr>
        <w:t>с каждым из родителей</w:t>
      </w:r>
      <w:r>
        <w:rPr>
          <w:rFonts w:ascii="Times New Roman" w:hAnsi="Times New Roman"/>
          <w:sz w:val="28"/>
          <w:highlight w:val="white"/>
        </w:rPr>
        <w:t>, что позволит родителям даже в условиях развода оставаться одинаково вовлеченными в воспитание и повседневную жизнь ребенка.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proofErr w:type="gramStart"/>
      <w:r>
        <w:rPr>
          <w:rFonts w:ascii="Times New Roman" w:hAnsi="Times New Roman"/>
          <w:sz w:val="28"/>
        </w:rPr>
        <w:t>Законопроектом предлагается также дополнить Семейный кодекс Российской Федерации статьей 65.1, в рамках которой прописываются полномочия суда по определению индивидуального графика проживания ребенка совместно с каждым из родителей, который будет определяться судом с учетом мнения ребенка, достигшего возраста десяти лет, родителей, а также исходя из других факторов, которые могут влиять на привычный уклад жизни ребенка и его режим.</w:t>
      </w:r>
      <w:proofErr w:type="gramEnd"/>
      <w:r>
        <w:rPr>
          <w:rFonts w:ascii="Times New Roman" w:hAnsi="Times New Roman"/>
          <w:sz w:val="28"/>
        </w:rPr>
        <w:t xml:space="preserve"> Таким образом, учитывая все эти факторы, суд сможет подобрать наиболее комфортный для каждого случая вариант. То </w:t>
      </w:r>
      <w:r>
        <w:rPr>
          <w:rFonts w:ascii="Times New Roman" w:hAnsi="Times New Roman"/>
          <w:sz w:val="28"/>
        </w:rPr>
        <w:lastRenderedPageBreak/>
        <w:t>есть если детский сад или школа находятся ближе к дому одного из родителей, суд сможет определить, например, что ребенок будет проводить большее количество будних дней с этим родителем, а с другим проводить часть выходных и каникул. Это позволит не нарушать привычную для ребенка повседневную рутину и при этом обеспечит равную вовлеченность родителей в процесс воспитания ребенка.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положения статьи 65.1 устанавливают случаи, при которых назначение порядка совместного воспитания будет невозможно, и случаи, при которых назначение совместного воспитания остается на усмотрение суда, а также основание прекращения совместного воспитания.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Предлагаемый институт совместного воспитания позволит детям сохранить полноценные отношения с обоими родителями после их развода. Ребенок получит возможность регулярно общаться как с матерью, так и с отцом, участвовать в семейных традициях обеих родительских семей, перенимать жизненный опыт от обоих родителей. При совместном воспитании ребенок не теряет ощущения полной семьи, сохраняет эмоциональную связь с обоими родителями, что значительно снижает психологическую травму от развода родителей.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Институт совместного воспитания в той или иной форме существует во многих странах мира таких, как Южно-Африканская Республика, Бразилия, Индия, Израиль, Объединенные Арабские Эмираты, США и др. 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процессе подготовки данного законопроекта было проанализировано семейное законодательство в части регулирования института совместного воспитания и учтен положительный опыт стран-участников БРИКС, а также правовые нормы Израиля, который является единственной развитой страной, которой за последние 25 лет удалось преодолеть негативные демографические тенденции и повысить рождаемость среди нерелигиозного населения титульной нации.</w:t>
      </w:r>
      <w:proofErr w:type="gramEnd"/>
      <w:r>
        <w:rPr>
          <w:rFonts w:ascii="Times New Roman" w:hAnsi="Times New Roman"/>
          <w:sz w:val="28"/>
        </w:rPr>
        <w:t xml:space="preserve"> При этом рост рождаемости последних лет происходил вместе с укреплением института совместного воспитания и прав отцов на участие в воспитании детей после развода (выводы Комиссии </w:t>
      </w:r>
      <w:proofErr w:type="spellStart"/>
      <w:r>
        <w:rPr>
          <w:rFonts w:ascii="Times New Roman" w:hAnsi="Times New Roman"/>
          <w:sz w:val="28"/>
        </w:rPr>
        <w:t>Шнитта</w:t>
      </w:r>
      <w:proofErr w:type="spellEnd"/>
      <w:r>
        <w:rPr>
          <w:rFonts w:ascii="Times New Roman" w:hAnsi="Times New Roman"/>
          <w:sz w:val="28"/>
        </w:rPr>
        <w:t xml:space="preserve"> об использовании совместного воспитания по умолчанию, а также возможности определения места жительства с отцами даже для детей до шести лет).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Примечателен также факт, что из пяти основных стран БРИКС в трех странах, в которых существует институт совместного воспитания, Индия, </w:t>
      </w:r>
      <w:r>
        <w:rPr>
          <w:rFonts w:ascii="Times New Roman" w:hAnsi="Times New Roman"/>
          <w:sz w:val="28"/>
        </w:rPr>
        <w:lastRenderedPageBreak/>
        <w:t>Бразилия, ЮАР, коэффициент рождаемости выше, чем в России, в которой институт совместного воспитания не существует.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штате Кентукки, США, после введения института совместного воспитания было отмечено значительное снижение количества разводов, а также уменьшение социальных выплат.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Предлагаемые изменения будут способствовать нормализации отношений в брачно-семейной сфере, укреплению связи ребенка с обоими родителями даже в условиях их развода и снижению уровня негативного влияния бракоразводного процесса на детскую психику.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введение института совместного воспитания может стать фактором, который будет способствовать более ответственному подходу супругов к решению о расторжении брака, поскольку предполагает необходимость их дальнейшего конструктивного взаимодействия в интересах ребёнка.</w:t>
      </w: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9270C9" w:rsidRDefault="009270C9" w:rsidP="009270C9">
      <w:pPr>
        <w:spacing w:after="0"/>
        <w:jc w:val="both"/>
        <w:rPr>
          <w:rFonts w:ascii="Times New Roman" w:hAnsi="Times New Roman"/>
          <w:sz w:val="32"/>
        </w:rPr>
      </w:pPr>
    </w:p>
    <w:p w:rsidR="009270C9" w:rsidRDefault="009270C9" w:rsidP="009270C9">
      <w:pPr>
        <w:spacing w:after="0"/>
        <w:jc w:val="both"/>
        <w:rPr>
          <w:rFonts w:ascii="Times New Roman" w:hAnsi="Times New Roman"/>
          <w:sz w:val="28"/>
        </w:rPr>
      </w:pPr>
    </w:p>
    <w:p w:rsidR="00C0316A" w:rsidRDefault="00C0316A"/>
    <w:sectPr w:rsidR="00C0316A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463" w:rsidRDefault="00F07463" w:rsidP="009270C9">
      <w:pPr>
        <w:spacing w:after="0" w:line="240" w:lineRule="auto"/>
      </w:pPr>
      <w:r>
        <w:separator/>
      </w:r>
    </w:p>
  </w:endnote>
  <w:endnote w:type="continuationSeparator" w:id="0">
    <w:p w:rsidR="00F07463" w:rsidRDefault="00F07463" w:rsidP="00927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463" w:rsidRDefault="00F07463" w:rsidP="009270C9">
      <w:pPr>
        <w:spacing w:after="0" w:line="240" w:lineRule="auto"/>
      </w:pPr>
      <w:r>
        <w:separator/>
      </w:r>
    </w:p>
  </w:footnote>
  <w:footnote w:type="continuationSeparator" w:id="0">
    <w:p w:rsidR="00F07463" w:rsidRDefault="00F07463" w:rsidP="009270C9">
      <w:pPr>
        <w:spacing w:after="0" w:line="240" w:lineRule="auto"/>
      </w:pPr>
      <w:r>
        <w:continuationSeparator/>
      </w:r>
    </w:p>
  </w:footnote>
  <w:footnote w:id="1">
    <w:p w:rsidR="009270C9" w:rsidRDefault="009270C9" w:rsidP="009270C9">
      <w:pPr>
        <w:pStyle w:val="Footnote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383838"/>
          <w:sz w:val="19"/>
        </w:rPr>
        <w:t>Смирнов, В. М. Неполные семьи в России: масштабы, проблемы и социальная помощь / В. М. Смирнов, О. В. Селиванова // Экономика труда. – 2023. – Т. 10, № 5. – С. 695-714.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17B"/>
    <w:rsid w:val="009270C9"/>
    <w:rsid w:val="00B5417B"/>
    <w:rsid w:val="00C0316A"/>
    <w:rsid w:val="00F0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0C9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">
    <w:name w:val="Footnote"/>
    <w:rsid w:val="009270C9"/>
    <w:pPr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0C9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">
    <w:name w:val="Footnote"/>
    <w:rsid w:val="009270C9"/>
    <w:pPr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1419</Words>
  <Characters>8089</Characters>
  <Application>Microsoft Office Word</Application>
  <DocSecurity>0</DocSecurity>
  <Lines>67</Lines>
  <Paragraphs>18</Paragraphs>
  <ScaleCrop>false</ScaleCrop>
  <Company/>
  <LinksUpToDate>false</LinksUpToDate>
  <CharactersWithSpaces>9490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Аджиева Джамиля Солтановна</dc:creator>
  <cp:keywords/>
  <dc:description/>
  <cp:lastModifiedBy>Аджиева Джамиля Солтановна</cp:lastModifiedBy>
  <cp:revision>2</cp:revision>
  <dcterms:created xsi:type="dcterms:W3CDTF">2026-03-10T16:32:00Z</dcterms:created>
  <dcterms:modified xsi:type="dcterms:W3CDTF">2026-03-10T16:32:00Z</dcterms:modified>
</cp:coreProperties>
</file>