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 ПОЯСНИТЕЛЬНАЯ ЗАПИСКА</w:t>
      </w:r>
      <w:r>
        <w:rPr>
          <w:rFonts w:eastAsia="Calibri"/>
          <w:b/>
          <w:szCs w:val="28"/>
        </w:rPr>
      </w:r>
      <w:r>
        <w:rPr>
          <w:rFonts w:eastAsia="Calibri"/>
          <w:b/>
          <w:szCs w:val="28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rFonts w:eastAsia="Calibri"/>
          <w:b/>
          <w:szCs w:val="28"/>
        </w:rPr>
        <w:t xml:space="preserve">к проекту </w:t>
      </w:r>
      <w:r>
        <w:rPr>
          <w:b/>
          <w:szCs w:val="28"/>
        </w:rPr>
        <w:t xml:space="preserve">ф</w:t>
      </w:r>
      <w:r>
        <w:rPr>
          <w:b/>
          <w:szCs w:val="28"/>
        </w:rPr>
        <w:t xml:space="preserve">едерального </w:t>
      </w:r>
      <w:r>
        <w:rPr>
          <w:rFonts w:eastAsia="Calibri"/>
          <w:b/>
          <w:szCs w:val="28"/>
        </w:rPr>
        <w:t xml:space="preserve">закона  </w:t>
      </w:r>
      <w:r>
        <w:rPr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изменений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  <w:t xml:space="preserve">в статьи 51 и 57 Бюджетного кодекса Российской Федерации</w:t>
      </w:r>
      <w:r>
        <w:rPr>
          <w:b/>
          <w:bCs/>
          <w:szCs w:val="28"/>
          <w:lang w:eastAsia="ar-SA"/>
        </w:rPr>
        <w:t xml:space="preserve">»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360" w:lineRule="auto"/>
        <w:rPr>
          <w:b/>
          <w:bCs/>
          <w:sz w:val="40"/>
          <w:szCs w:val="40"/>
        </w:rPr>
      </w:pPr>
      <w:r>
        <w:rPr>
          <w:b/>
          <w:bCs/>
          <w:szCs w:val="28"/>
          <w:lang w:eastAsia="ar-SA"/>
        </w:rPr>
      </w:r>
      <w:r>
        <w:rPr>
          <w:b/>
          <w:bCs/>
          <w:sz w:val="40"/>
          <w:szCs w:val="40"/>
        </w:rPr>
      </w:r>
      <w:r>
        <w:rPr>
          <w:b/>
          <w:bCs/>
          <w:sz w:val="40"/>
          <w:szCs w:val="40"/>
        </w:rPr>
      </w:r>
    </w:p>
    <w:p>
      <w:pPr>
        <w:ind w:firstLine="709"/>
        <w:spacing w:line="35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Предлагаемые н</w:t>
      </w:r>
      <w:r>
        <w:rPr>
          <w:color w:val="000000" w:themeColor="text1"/>
          <w:szCs w:val="28"/>
        </w:rPr>
        <w:t xml:space="preserve">астоящим проектом федерального закона изменения </w:t>
      </w:r>
      <w:r>
        <w:rPr>
          <w:color w:val="000000" w:themeColor="text1"/>
          <w:szCs w:val="28"/>
        </w:rPr>
        <w:t xml:space="preserve">    </w:t>
      </w:r>
      <w:r>
        <w:rPr>
          <w:color w:val="000000" w:themeColor="text1"/>
          <w:szCs w:val="28"/>
        </w:rPr>
        <w:t xml:space="preserve">в ста</w:t>
      </w:r>
      <w:r>
        <w:rPr>
          <w:color w:val="000000" w:themeColor="text1"/>
          <w:szCs w:val="28"/>
        </w:rPr>
        <w:t xml:space="preserve">тьи 51 и 57 Бюджетного кодекса </w:t>
      </w:r>
      <w:r>
        <w:rPr>
          <w:color w:val="000000" w:themeColor="text1"/>
          <w:szCs w:val="28"/>
        </w:rPr>
        <w:t xml:space="preserve">Российской Федерации </w:t>
      </w:r>
      <w:r>
        <w:rPr>
          <w:color w:val="000000" w:themeColor="text1"/>
          <w:szCs w:val="28"/>
        </w:rPr>
        <w:t xml:space="preserve">обусловлены внесением соответствующих изменений в </w:t>
      </w:r>
      <w:r>
        <w:rPr>
          <w:szCs w:val="28"/>
        </w:rPr>
        <w:t xml:space="preserve">Закон Российской Федерации </w:t>
      </w:r>
      <w:r>
        <w:rPr>
          <w:szCs w:val="28"/>
        </w:rPr>
        <w:t xml:space="preserve">       </w:t>
      </w:r>
      <w:r>
        <w:rPr>
          <w:szCs w:val="28"/>
        </w:rPr>
        <w:t xml:space="preserve">от 21 февраля 1992 года № 2395-</w:t>
      </w:r>
      <w:r>
        <w:rPr>
          <w:szCs w:val="28"/>
          <w:lang w:val="en-US"/>
        </w:rPr>
        <w:t xml:space="preserve">I</w:t>
      </w:r>
      <w:r>
        <w:rPr>
          <w:szCs w:val="28"/>
        </w:rPr>
        <w:t xml:space="preserve"> «О недрах»</w:t>
      </w:r>
      <w:r>
        <w:rPr>
          <w:szCs w:val="28"/>
        </w:rPr>
        <w:t xml:space="preserve"> (далее – Закон Российской Федерации «О недрах»)</w:t>
      </w:r>
      <w:r>
        <w:rPr>
          <w:szCs w:val="28"/>
        </w:rPr>
        <w:t xml:space="preserve"> в части системы платеже</w:t>
      </w:r>
      <w:r>
        <w:rPr>
          <w:szCs w:val="28"/>
        </w:rPr>
        <w:t xml:space="preserve">й</w:t>
      </w:r>
      <w:r>
        <w:rPr>
          <w:szCs w:val="28"/>
        </w:rPr>
        <w:t xml:space="preserve"> при пользовании недрами.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709"/>
        <w:spacing w:line="350" w:lineRule="auto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Так, </w:t>
      </w:r>
      <w:r>
        <w:rPr>
          <w:szCs w:val="28"/>
        </w:rPr>
        <w:t xml:space="preserve">Федеральным законом от 30 апреля 2021 года № 123-ФЗ </w:t>
      </w:r>
      <w:r>
        <w:rPr>
          <w:szCs w:val="28"/>
        </w:rPr>
        <w:t xml:space="preserve">              </w:t>
      </w:r>
      <w:r>
        <w:rPr>
          <w:szCs w:val="28"/>
        </w:rPr>
        <w:t xml:space="preserve">«О внесении изменений в Закон Российской Федерации «О недрах», статью 1 Федерального закона «О лицензировании отдельных видов деятельност</w:t>
      </w:r>
      <w:r>
        <w:rPr>
          <w:szCs w:val="28"/>
        </w:rPr>
        <w:t xml:space="preserve">и»      и признании утратившими силу Постановления Верховного Совета Российской Федерации «О порядке введения в действие Положения               о порядке лицензирования пользования недрами» и отдельных положений законодательных актов Российской Федерации»</w:t>
      </w:r>
      <w:r>
        <w:rPr>
          <w:szCs w:val="28"/>
        </w:rPr>
        <w:t xml:space="preserve"> </w:t>
      </w:r>
      <w:r>
        <w:rPr>
          <w:szCs w:val="28"/>
        </w:rPr>
        <w:t xml:space="preserve">(далее - Федеральный закон № 123-ФЗ)</w:t>
      </w:r>
      <w:r>
        <w:rPr>
          <w:szCs w:val="28"/>
        </w:rPr>
        <w:t xml:space="preserve"> внесены изменения</w:t>
      </w:r>
      <w:r>
        <w:rPr>
          <w:szCs w:val="28"/>
        </w:rPr>
        <w:t xml:space="preserve"> в статьи 39, 40</w:t>
      </w:r>
      <w:r>
        <w:rPr>
          <w:szCs w:val="28"/>
        </w:rPr>
        <w:t xml:space="preserve">, 42</w:t>
      </w:r>
      <w:r>
        <w:rPr>
          <w:szCs w:val="28"/>
        </w:rPr>
        <w:t xml:space="preserve"> Закона </w:t>
      </w:r>
      <w:r>
        <w:rPr>
          <w:szCs w:val="28"/>
        </w:rPr>
        <w:t xml:space="preserve">Российской Федерации</w:t>
      </w:r>
      <w:r>
        <w:rPr>
          <w:szCs w:val="28"/>
        </w:rPr>
        <w:t xml:space="preserve"> «О недрах»</w:t>
      </w:r>
      <w:r>
        <w:rPr>
          <w:szCs w:val="28"/>
        </w:rPr>
        <w:t xml:space="preserve">, </w:t>
      </w:r>
      <w:r>
        <w:rPr>
          <w:szCs w:val="28"/>
        </w:rPr>
        <w:t xml:space="preserve">уточняющие платежи, в том числе их наименование, при пользовании недрами.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</w:r>
      <w:r>
        <w:rPr>
          <w:rFonts w:eastAsiaTheme="minorHAnsi"/>
          <w:szCs w:val="28"/>
          <w:lang w:eastAsia="en-US"/>
        </w:rPr>
      </w:r>
    </w:p>
    <w:p>
      <w:pPr>
        <w:ind w:firstLine="709"/>
        <w:spacing w:line="350" w:lineRule="auto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В частности, наименование платежей «</w:t>
      </w:r>
      <w:r>
        <w:rPr>
          <w:rFonts w:eastAsiaTheme="minorHAnsi"/>
          <w:szCs w:val="28"/>
          <w:lang w:eastAsia="en-US"/>
        </w:rPr>
        <w:t xml:space="preserve">разовые платежи за пользование недрами при наступлении определенных событий, оговоренных в лицензии</w:t>
      </w:r>
      <w:r>
        <w:rPr>
          <w:szCs w:val="28"/>
        </w:rPr>
        <w:t xml:space="preserve">», </w:t>
      </w:r>
      <w:r>
        <w:rPr>
          <w:rFonts w:eastAsiaTheme="minorHAnsi"/>
          <w:szCs w:val="28"/>
          <w:lang w:eastAsia="en-US"/>
        </w:rPr>
        <w:t xml:space="preserve">«сбор за участие в конкурсе (аукционе)»</w:t>
      </w:r>
      <w:r>
        <w:rPr>
          <w:szCs w:val="28"/>
        </w:rPr>
        <w:t xml:space="preserve"> в редакции Федерального закона     № 123-ФЗ определяются </w:t>
      </w:r>
      <w:r>
        <w:rPr>
          <w:rFonts w:eastAsiaTheme="minorHAnsi"/>
          <w:szCs w:val="28"/>
          <w:lang w:eastAsia="en-US"/>
        </w:rPr>
        <w:t xml:space="preserve">соответственно</w:t>
      </w:r>
      <w:r>
        <w:rPr>
          <w:szCs w:val="28"/>
        </w:rPr>
        <w:t xml:space="preserve"> </w:t>
      </w:r>
      <w:r>
        <w:rPr>
          <w:szCs w:val="28"/>
        </w:rPr>
        <w:t xml:space="preserve">как «</w:t>
      </w:r>
      <w:r>
        <w:rPr>
          <w:rFonts w:eastAsiaTheme="minorHAnsi"/>
          <w:szCs w:val="28"/>
          <w:lang w:eastAsia="en-US"/>
        </w:rPr>
        <w:t xml:space="preserve">разовый платеж за пользование недрами», «сбор за участие в аукционе». </w:t>
      </w:r>
      <w:r>
        <w:rPr>
          <w:rFonts w:eastAsiaTheme="minorHAnsi"/>
          <w:szCs w:val="28"/>
          <w:lang w:eastAsia="en-US"/>
        </w:rPr>
      </w:r>
      <w:r>
        <w:rPr>
          <w:rFonts w:eastAsiaTheme="minorHAnsi"/>
          <w:szCs w:val="28"/>
          <w:lang w:eastAsia="en-US"/>
        </w:rPr>
      </w:r>
    </w:p>
    <w:p>
      <w:pPr>
        <w:ind w:firstLine="708"/>
        <w:spacing w:line="350" w:lineRule="auto"/>
        <w:rPr>
          <w:szCs w:val="28"/>
        </w:rPr>
      </w:pPr>
      <w:r>
        <w:rPr>
          <w:szCs w:val="28"/>
        </w:rPr>
        <w:t xml:space="preserve">Представленным проектом федерального закона предлагается вн</w:t>
      </w:r>
      <w:r>
        <w:rPr>
          <w:szCs w:val="28"/>
        </w:rPr>
        <w:t xml:space="preserve">ести корреспондирующие изменения</w:t>
      </w:r>
      <w:r>
        <w:rPr>
          <w:szCs w:val="28"/>
        </w:rPr>
        <w:t xml:space="preserve"> в </w:t>
      </w:r>
      <w:r>
        <w:t xml:space="preserve">статьи 51 и 57 Бюджетного кодекса Российской Федерации</w:t>
      </w:r>
      <w:r>
        <w:t xml:space="preserve">, уточнив наименование платежей при пользовании недрами</w:t>
      </w:r>
      <w:r>
        <w:rPr>
          <w:rFonts w:eastAsiaTheme="minorHAnsi"/>
          <w:szCs w:val="28"/>
          <w:lang w:eastAsia="en-US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8"/>
        <w:spacing w:line="348" w:lineRule="auto"/>
      </w:pPr>
      <w:r>
        <w:rPr>
          <w:szCs w:val="28"/>
        </w:rPr>
        <w:t xml:space="preserve">Проект федерального закона </w:t>
      </w:r>
      <w:r>
        <w:rPr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 в статьи 51 и 57 Бюджетного  кодекса  Российской  Федерации»  </w:t>
      </w:r>
      <w:r>
        <w:rPr>
          <w:szCs w:val="28"/>
        </w:rPr>
        <w:t xml:space="preserve">не противоречит актам более </w:t>
      </w:r>
      <w:r/>
      <w:r>
        <w:rPr>
          <w:szCs w:val="28"/>
        </w:rPr>
        <w:t xml:space="preserve">высокой юридической силы, в том числе Договору о Евразийском экономическом союзе.</w:t>
      </w:r>
      <w:r>
        <w:rPr>
          <w:highlight w:val="none"/>
        </w:rPr>
      </w:r>
      <w:r>
        <w:rPr>
          <w:sz w:val="24"/>
          <w:szCs w:val="24"/>
          <w:highlight w:val="none"/>
        </w:rPr>
      </w:r>
      <w:r/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>
        <w:rPr>
          <w:szCs w:val="28"/>
        </w:rPr>
      </w:r>
      <w:r/>
      <w:r>
        <w:rPr>
          <w:szCs w:val="28"/>
        </w:rPr>
      </w:r>
      <w:r>
        <w:rPr>
          <w:szCs w:val="28"/>
        </w:rPr>
      </w:r>
      <w:r/>
      <w:r/>
      <w:r>
        <w:rPr>
          <w:szCs w:val="28"/>
        </w:rPr>
      </w:r>
      <w:r>
        <w:rPr>
          <w:szCs w:val="28"/>
        </w:rPr>
      </w:r>
      <w:r/>
      <w:r/>
    </w:p>
    <w:sectPr>
      <w:headerReference w:type="default" r:id="rId8"/>
      <w:footnotePr/>
      <w:endnotePr/>
      <w:type w:val="nextPage"/>
      <w:pgSz w:w="11906" w:h="16838" w:orient="portrait"/>
      <w:pgMar w:top="568" w:right="850" w:bottom="1134" w:left="1701" w:header="397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  <w:jc w:val="center"/>
    </w:pPr>
    <w:r/>
    <w:r/>
  </w:p>
  <w:p>
    <w:pPr>
      <w:pStyle w:val="84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>
    <w:name w:val="Heading 1"/>
    <w:basedOn w:val="845"/>
    <w:next w:val="845"/>
    <w:link w:val="67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0">
    <w:name w:val="Heading 1 Char"/>
    <w:basedOn w:val="846"/>
    <w:link w:val="66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1">
    <w:name w:val="Heading 2"/>
    <w:basedOn w:val="845"/>
    <w:next w:val="845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2">
    <w:name w:val="Heading 2 Char"/>
    <w:basedOn w:val="846"/>
    <w:link w:val="671"/>
    <w:uiPriority w:val="9"/>
    <w:rPr>
      <w:rFonts w:ascii="Liberation Sans" w:hAnsi="Liberation Sans" w:eastAsia="Liberation Sans" w:cs="Liberation Sans"/>
      <w:sz w:val="34"/>
    </w:rPr>
  </w:style>
  <w:style w:type="paragraph" w:styleId="673">
    <w:name w:val="Heading 3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4">
    <w:name w:val="Heading 3 Char"/>
    <w:basedOn w:val="846"/>
    <w:link w:val="67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5">
    <w:name w:val="Heading 4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4 Char"/>
    <w:basedOn w:val="846"/>
    <w:link w:val="67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7">
    <w:name w:val="Heading 5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8">
    <w:name w:val="Heading 5 Char"/>
    <w:basedOn w:val="846"/>
    <w:link w:val="6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9">
    <w:name w:val="Heading 6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0">
    <w:name w:val="Heading 6 Char"/>
    <w:basedOn w:val="846"/>
    <w:link w:val="67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1">
    <w:name w:val="Heading 7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7 Char"/>
    <w:basedOn w:val="846"/>
    <w:link w:val="68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3">
    <w:name w:val="Heading 8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4">
    <w:name w:val="Heading 8 Char"/>
    <w:basedOn w:val="846"/>
    <w:link w:val="68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5">
    <w:name w:val="Heading 9"/>
    <w:basedOn w:val="845"/>
    <w:next w:val="845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6">
    <w:name w:val="Heading 9 Char"/>
    <w:basedOn w:val="846"/>
    <w:link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7">
    <w:name w:val="List Paragraph"/>
    <w:basedOn w:val="845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5"/>
    <w:next w:val="845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basedOn w:val="846"/>
    <w:link w:val="689"/>
    <w:uiPriority w:val="10"/>
    <w:rPr>
      <w:sz w:val="48"/>
      <w:szCs w:val="48"/>
    </w:rPr>
  </w:style>
  <w:style w:type="paragraph" w:styleId="691">
    <w:name w:val="Subtitle"/>
    <w:basedOn w:val="845"/>
    <w:next w:val="845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6"/>
    <w:link w:val="691"/>
    <w:uiPriority w:val="11"/>
    <w:rPr>
      <w:sz w:val="24"/>
      <w:szCs w:val="24"/>
    </w:rPr>
  </w:style>
  <w:style w:type="paragraph" w:styleId="693">
    <w:name w:val="Quote"/>
    <w:basedOn w:val="845"/>
    <w:next w:val="845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5"/>
    <w:next w:val="845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character" w:styleId="697">
    <w:name w:val="Header Char"/>
    <w:basedOn w:val="846"/>
    <w:link w:val="849"/>
    <w:uiPriority w:val="99"/>
  </w:style>
  <w:style w:type="character" w:styleId="698">
    <w:name w:val="Footer Char"/>
    <w:basedOn w:val="846"/>
    <w:link w:val="851"/>
    <w:uiPriority w:val="99"/>
  </w:style>
  <w:style w:type="paragraph" w:styleId="699">
    <w:name w:val="Caption"/>
    <w:basedOn w:val="845"/>
    <w:next w:val="845"/>
    <w:link w:val="7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846"/>
    <w:link w:val="699"/>
    <w:uiPriority w:val="35"/>
    <w:rPr>
      <w:b/>
      <w:bCs/>
      <w:color w:val="4f81bd" w:themeColor="accent1"/>
      <w:sz w:val="18"/>
      <w:szCs w:val="18"/>
    </w:rPr>
  </w:style>
  <w:style w:type="table" w:styleId="701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4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5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6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7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8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0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1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2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3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4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5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6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basedOn w:val="846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basedOn w:val="846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6" w:default="1">
    <w:name w:val="Default Paragraph Font"/>
    <w:uiPriority w:val="1"/>
    <w:semiHidden/>
    <w:unhideWhenUsed/>
  </w:style>
  <w:style w:type="table" w:styleId="84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Header"/>
    <w:basedOn w:val="845"/>
    <w:link w:val="850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0" w:customStyle="1">
    <w:name w:val="Верхний колонтитул Знак"/>
    <w:basedOn w:val="846"/>
    <w:link w:val="849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1">
    <w:name w:val="Footer"/>
    <w:basedOn w:val="845"/>
    <w:link w:val="852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2" w:customStyle="1">
    <w:name w:val="Нижний колонтитул Знак"/>
    <w:basedOn w:val="846"/>
    <w:link w:val="851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1A71E-2DA4-48BD-AAAD-A15D0205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37</cp:revision>
  <dcterms:created xsi:type="dcterms:W3CDTF">2025-05-22T07:32:00Z</dcterms:created>
  <dcterms:modified xsi:type="dcterms:W3CDTF">2026-02-20T09:24:36Z</dcterms:modified>
</cp:coreProperties>
</file>