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D23" w:rsidRPr="002746E3" w:rsidRDefault="00C47B22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991D23" w:rsidRPr="002746E3" w:rsidRDefault="00C47B22">
      <w:pPr>
        <w:spacing w:after="0" w:line="240" w:lineRule="auto"/>
        <w:jc w:val="center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="00FF1E24" w:rsidRPr="002746E3">
        <w:rPr>
          <w:rFonts w:ascii="Times New Roman" w:eastAsia="PT Astra Serif" w:hAnsi="Times New Roman" w:cs="Times New Roman"/>
          <w:b/>
          <w:bCs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b/>
          <w:bCs/>
          <w:sz w:val="28"/>
          <w:szCs w:val="28"/>
        </w:rPr>
        <w:t>О внесении изменений в Гражданский процессуальный кодекс Российской Федерации</w:t>
      </w:r>
      <w:r w:rsidR="00FF1E24" w:rsidRPr="002746E3">
        <w:rPr>
          <w:rFonts w:ascii="Times New Roman" w:eastAsia="PT Astra Serif" w:hAnsi="Times New Roman" w:cs="Times New Roman"/>
          <w:b/>
          <w:bCs/>
          <w:sz w:val="28"/>
          <w:szCs w:val="28"/>
        </w:rPr>
        <w:t>"</w:t>
      </w:r>
    </w:p>
    <w:p w:rsidR="00991D23" w:rsidRPr="002746E3" w:rsidRDefault="0099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Проект федерального закона 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>О внесении изменений в Гражданский процессуальный кодекс Российской Федерации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 (далее – Законопроект) подготовлен в целях гармонизации положений гражданского процессуального законодательства и обеспечения баланса интересов сторон гражданского судопроизводства в связи с принятием Федерального закона от 12 июня 2024 г. № 135-ФЗ 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>О внесении изменений в Гражданский процессуальный кодекс Российской Федерации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 (далее – Федеральный закон № 135-ФЗ).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Так, Федеральный закон № 135-ФЗ с 1 сентября 2024 г. дополнил статью 124 Гражданского процессуального кодекса Российской Федерации (далее также – ГПК РФ), содержащую требования к форме и содержанию заявления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о вынесении судебного приказа, частью четвертой, которая обязывает взыскателя в приказном производстве прилагать к заявлению о вынесении судебного приказа среди прочего уведомление о вручении или иные документы, подтверждающие направление взыскателем должнику копий заявления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о вынесении судебного приказа и приложенных к нему документов.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Таким образом, с момента вступления в силу указанной редакции статьи 124 ГПК РФ у взыскателя возникают дополнительные расходы, связанные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с изготовлением и направлением должнику копий заявления о вынесении судебного приказа и приложенных к нему документов, которые по своей правовой природе и с учетом положений статей 88 и 94 ГПК РФ являются одним из видов судебных издержек.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Вопрос о взыскании судебных издержек, связанных с выдачей судебного приказа, ГПК РФ прямо не урегулирован. Вместе с тем к сегодняшнему дню сформированы правовые позиции высших судов, согласно которым распределение судебных издержек между взыскателем и должником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при вынесении судебного приказа не осуществляется, в том числе в связи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>с отсутствием прямого указания в ГПК РФ на возможность включения судебных издержек в содержание судебного приказа (определение Конституционного Суда Российской Федерации от 28 февраля 2017 г. № 378-О, пункт 3 разъяснений по вопросам, возникающим в судебной практике, обзора судебной практики Верховного Суда Российской Федерации № 3 (2018), утвержденного Президиумом Верховного Суда Российской Федерации 14 ноября 2018 г.).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>В этой связи, учитывая, что иные положения ГПК РФ не были гармонизированы со статьей 124 ГПК РФ в редакции Федерального закона № 135-ФЗ, взыскатель несет расходы в связи с исполнением требований части четвертой статьи 124 ГПК РФ без возможности возмещения таковых расходов одновременно с разрешением основного требования по существу.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Исходя из действующей редакции ГПК РФ (статьи 94, 98, 103.1, пункт 1.1 части первой статьи 135) возместить расходы, понесенные в связи с исполнением требования части четвертой статьи 124 ГПК РФ, взыскатель может только одним способом – путем обращения в суд с отдельным иском о взыскании с должника,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lastRenderedPageBreak/>
        <w:t xml:space="preserve">в отношении которого вынесен судебный приказ, в пользу взыскателя расходов, связанных с изготовлением и направлением должнику копий заявления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о вынесении судебного приказа и приложенных к нему документов (далее – иск о взыскании расходов).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Однако такой подход к правовому регулированию: - вопреки целеполаганию Федерального закона № 135-ФЗ1 нарушает принцип равноправия сторон судебного процесса; - не отвечает интересам ни взыскателя (поскольку существенно затрудняет судебную защиту нарушенного права),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ни самого должника, на которого помимо расходов по части четвертой статьи 124 ГПК РФ может быть возложена обязанность возмещения дополнительных расходов, возникших у взыскателя при обращении в суд с отдельным иском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о взыскании расходов.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В этой связи следует отметить, что с вступлением в силу Федерального закона от 8 августа 2024 г. № 259-ФЗ 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О внесении изменений в части первую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>и вторую Налогового кодекса Российской Федерации и отдельные законодательные акты Российской Федерации о налогах и сборах</w:t>
      </w:r>
      <w:r w:rsidR="00FF1E24" w:rsidRPr="002746E3">
        <w:rPr>
          <w:rFonts w:ascii="Times New Roman" w:eastAsia="PT Astra Serif" w:hAnsi="Times New Roman" w:cs="Times New Roman"/>
          <w:sz w:val="28"/>
          <w:szCs w:val="28"/>
        </w:rPr>
        <w:t>"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 минимальный размер государственной пошлины при подаче искового заявления имущественного характера, которую будет обязан оплатить взыскатель при обращении в суд с иском о взыскании расходов и которая может быть взыскана с должника при удовлетворении судом такого иска, возрос с 400 до 4 000 руб.; </w:t>
      </w:r>
      <w:r w:rsidR="00545227" w:rsidRPr="002746E3">
        <w:rPr>
          <w:rFonts w:ascii="Times New Roman" w:eastAsia="PT Astra Serif" w:hAnsi="Times New Roman" w:cs="Times New Roman"/>
          <w:sz w:val="28"/>
          <w:szCs w:val="28"/>
        </w:rPr>
        <w:br/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- может значимо увеличить нагрузку на мировых судей (поскольку каждый выданный мировым судьей судебный приказ может стать поводом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для обращения взыскателя с иском о взыскании расходов). 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>Для разрешения описанной проблемы Законопроектом предлагается предусмотреть в ГПК РФ возможность при вынесении судебного приказа возместить с должника в пользу взыскателя расходы на исполнение взыскателем императивных требований части четвертой статьи 124 ГПК РФ.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Предлагаемый Законопроектом подход к правовому регулированию </w:t>
      </w:r>
      <w:r w:rsidR="00545227" w:rsidRPr="002746E3">
        <w:rPr>
          <w:rFonts w:ascii="Times New Roman" w:eastAsia="PT Astra Serif" w:hAnsi="Times New Roman" w:cs="Times New Roman"/>
          <w:sz w:val="28"/>
          <w:szCs w:val="28"/>
        </w:rPr>
        <w:br/>
      </w:r>
      <w:r w:rsidRPr="002746E3">
        <w:rPr>
          <w:rFonts w:ascii="Times New Roman" w:eastAsia="PT Astra Serif" w:hAnsi="Times New Roman" w:cs="Times New Roman"/>
          <w:sz w:val="28"/>
          <w:szCs w:val="28"/>
        </w:rPr>
        <w:t xml:space="preserve">не умаляет права должника как участника гражданского судопроизводства, поскольку, по общему правилу, любое возражение должника относительно исполнения судебного приказа влечет его полную отмену без выяснения вопроса о правомерности заявленного требования с разъяснением взыскателю его права предъявить заявленное требование в порядке искового производства (статья 129 ГПК РФ). Таким образом, при несогласии с судебным приказом (в том числе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в части взыскания с должника расходов, связанных с изготовлением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и направлением должнику копий заявления о вынесении судебного приказа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>и приложенных к нему документов) должник не понесет дополнительных правовых и финансовых обременений для его отмены.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>Принятие Законопроекта не повлечет дополнительных расходов, покрываемых за счет средств федерального бюджета, а также увеличения штатной численности федеральных органов исполнительной власти.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991D23" w:rsidRPr="002746E3" w:rsidRDefault="00C47B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6E3">
        <w:rPr>
          <w:rFonts w:ascii="Times New Roman" w:eastAsia="PT Astra Serif" w:hAnsi="Times New Roman" w:cs="Times New Roman"/>
          <w:sz w:val="28"/>
          <w:szCs w:val="28"/>
        </w:rPr>
        <w:lastRenderedPageBreak/>
        <w:t xml:space="preserve">В Законопроекте отсутствуют требования, которые связаны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сведения </w:t>
      </w:r>
      <w:r w:rsidRPr="002746E3">
        <w:rPr>
          <w:rFonts w:ascii="Times New Roman" w:eastAsia="PT Astra Serif" w:hAnsi="Times New Roman" w:cs="Times New Roman"/>
          <w:sz w:val="28"/>
          <w:szCs w:val="28"/>
        </w:rPr>
        <w:br/>
        <w:t>о соответствующем виде государс</w:t>
      </w:r>
      <w:bookmarkStart w:id="0" w:name="_GoBack"/>
      <w:bookmarkEnd w:id="0"/>
      <w:r w:rsidRPr="002746E3">
        <w:rPr>
          <w:rFonts w:ascii="Times New Roman" w:eastAsia="PT Astra Serif" w:hAnsi="Times New Roman" w:cs="Times New Roman"/>
          <w:sz w:val="28"/>
          <w:szCs w:val="28"/>
        </w:rPr>
        <w:t>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sectPr w:rsidR="00991D23" w:rsidRPr="002746E3">
      <w:headerReference w:type="default" r:id="rId6"/>
      <w:pgSz w:w="11906" w:h="16838"/>
      <w:pgMar w:top="1134" w:right="850" w:bottom="1134" w:left="141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0E1" w:rsidRDefault="009D60E1">
      <w:pPr>
        <w:spacing w:after="0" w:line="240" w:lineRule="auto"/>
      </w:pPr>
      <w:r>
        <w:separator/>
      </w:r>
    </w:p>
  </w:endnote>
  <w:endnote w:type="continuationSeparator" w:id="0">
    <w:p w:rsidR="009D60E1" w:rsidRDefault="009D6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NTHarmonic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0E1" w:rsidRDefault="009D60E1">
      <w:pPr>
        <w:spacing w:after="0" w:line="240" w:lineRule="auto"/>
      </w:pPr>
      <w:r>
        <w:separator/>
      </w:r>
    </w:p>
  </w:footnote>
  <w:footnote w:type="continuationSeparator" w:id="0">
    <w:p w:rsidR="009D60E1" w:rsidRDefault="009D6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D23" w:rsidRPr="002746E3" w:rsidRDefault="00C47B22">
    <w:pPr>
      <w:pStyle w:val="a9"/>
      <w:jc w:val="center"/>
      <w:rPr>
        <w:rFonts w:ascii="Times New Roman" w:hAnsi="Times New Roman" w:cs="PT Astra Serif"/>
        <w:sz w:val="28"/>
        <w:szCs w:val="28"/>
      </w:rPr>
    </w:pPr>
    <w:r w:rsidRPr="002746E3">
      <w:rPr>
        <w:rFonts w:ascii="Times New Roman" w:eastAsia="PT Astra Serif" w:hAnsi="Times New Roman" w:cs="PT Astra Serif"/>
        <w:sz w:val="28"/>
        <w:szCs w:val="28"/>
      </w:rPr>
      <w:fldChar w:fldCharType="begin"/>
    </w:r>
    <w:r w:rsidRPr="002746E3">
      <w:rPr>
        <w:rFonts w:ascii="Times New Roman" w:eastAsia="PT Astra Serif" w:hAnsi="Times New Roman" w:cs="PT Astra Serif"/>
        <w:sz w:val="28"/>
        <w:szCs w:val="28"/>
      </w:rPr>
      <w:instrText>PAGE \* MERGEFORMAT</w:instrText>
    </w:r>
    <w:r w:rsidRPr="002746E3">
      <w:rPr>
        <w:rFonts w:ascii="Times New Roman" w:eastAsia="PT Astra Serif" w:hAnsi="Times New Roman" w:cs="PT Astra Serif"/>
        <w:sz w:val="28"/>
        <w:szCs w:val="28"/>
      </w:rPr>
      <w:fldChar w:fldCharType="separate"/>
    </w:r>
    <w:r w:rsidR="002746E3">
      <w:rPr>
        <w:rFonts w:ascii="Times New Roman" w:eastAsia="PT Astra Serif" w:hAnsi="Times New Roman" w:cs="PT Astra Serif"/>
        <w:noProof/>
        <w:sz w:val="28"/>
        <w:szCs w:val="28"/>
      </w:rPr>
      <w:t>3</w:t>
    </w:r>
    <w:r w:rsidRPr="002746E3">
      <w:rPr>
        <w:rFonts w:ascii="Times New Roman" w:eastAsia="PT Astra Serif" w:hAnsi="Times New Roman" w:cs="PT Astra Serif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23"/>
    <w:rsid w:val="001B02A0"/>
    <w:rsid w:val="002746E3"/>
    <w:rsid w:val="00533F66"/>
    <w:rsid w:val="00545227"/>
    <w:rsid w:val="005902E3"/>
    <w:rsid w:val="00865FB9"/>
    <w:rsid w:val="00991D23"/>
    <w:rsid w:val="009D60E1"/>
    <w:rsid w:val="00C47B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D5815-8807-477C-8AFD-58B67833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274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74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Кислов А.И.</dc:creator>
  <cp:lastModifiedBy>Кислов А.И.</cp:lastModifiedBy>
  <cp:revision>2</cp:revision>
  <cp:lastPrinted>2026-02-19T12:42:00Z</cp:lastPrinted>
  <dcterms:created xsi:type="dcterms:W3CDTF">2026-02-19T12:43:00Z</dcterms:created>
  <dcterms:modified xsi:type="dcterms:W3CDTF">2026-02-19T12:43:00Z</dcterms:modified>
</cp:coreProperties>
</file>