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71F" w:rsidRDefault="005614B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70771F" w:rsidRDefault="005614B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федерального закона</w:t>
      </w:r>
    </w:p>
    <w:p w:rsidR="0070771F" w:rsidRDefault="005614B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«О внесении изменений в статьи 3.5 и 14.16 Кодекса Российской </w:t>
      </w:r>
      <w:proofErr w:type="gramEnd"/>
    </w:p>
    <w:p w:rsidR="0070771F" w:rsidRDefault="005614B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Федерации об административных правонарушениях»</w:t>
      </w:r>
    </w:p>
    <w:p w:rsidR="0070771F" w:rsidRDefault="0070771F">
      <w:pPr>
        <w:pStyle w:val="a8"/>
        <w:tabs>
          <w:tab w:val="clear" w:pos="4677"/>
          <w:tab w:val="clear" w:pos="9355"/>
          <w:tab w:val="left" w:pos="708"/>
          <w:tab w:val="center" w:pos="4536"/>
          <w:tab w:val="right" w:pos="9072"/>
        </w:tabs>
        <w:spacing w:line="360" w:lineRule="auto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Законопроект направлен на усиление административной ответственности при совершении правонарушений, предусмотренных частью 3 статьи 14.16 Кодекса Российской Федерации об административных правонарушениях (далее – КоАП РФ) – за нарушение особых требований и правил розничной продажи алкогольной и спиртосодержащей продукции.</w:t>
      </w:r>
    </w:p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причинами роста числа правонарушений является, прежде всего, высокая доходность незаконной деятельности и относительно низкий размер штрафов.</w:t>
      </w:r>
    </w:p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Рынок алкогольной продукции представляет собой экономически выгодную сферу, где нарушения установленных норм стали привычной практикой среди недобросовестных предпринимателей, стремящихся получить прибыль путем обхода обязательных требований.</w:t>
      </w:r>
    </w:p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dark1"/>
          <w:sz w:val="28"/>
          <w:szCs w:val="28"/>
          <w:shd w:val="clear" w:color="auto" w:fill="FFFFFF"/>
        </w:rPr>
        <w:t xml:space="preserve">Проведённый статистический анализ на основании данных, предоставленных исполнительными органами 78 субъектов Российской Федерации, за период с 2019 года по март 2022 года, предшествовавший введению моратория при осуществлении </w:t>
      </w:r>
      <w:r>
        <w:rPr>
          <w:rFonts w:ascii="Times New Roman" w:hAnsi="Times New Roman"/>
          <w:color w:val="000000" w:themeColor="dark1"/>
          <w:sz w:val="28"/>
          <w:szCs w:val="28"/>
        </w:rPr>
        <w:t>регионального государственного контроля (надзора) в области розничной продажи алкогольной и спиртосодержащей продукции (далее – региональный контроль)</w:t>
      </w:r>
      <w:r>
        <w:rPr>
          <w:rFonts w:ascii="Times New Roman" w:hAnsi="Times New Roman"/>
          <w:color w:val="000000" w:themeColor="dark1"/>
          <w:sz w:val="28"/>
          <w:szCs w:val="28"/>
          <w:shd w:val="clear" w:color="auto" w:fill="FFFFFF"/>
        </w:rPr>
        <w:t xml:space="preserve">, подтвердил выявление значительного объёма правонарушений. </w:t>
      </w:r>
    </w:p>
    <w:tbl>
      <w:tblPr>
        <w:tblW w:w="9628" w:type="dxa"/>
        <w:tblInd w:w="-226" w:type="dxa"/>
        <w:tblLayout w:type="fixed"/>
        <w:tblLook w:val="04A0" w:firstRow="1" w:lastRow="0" w:firstColumn="1" w:lastColumn="0" w:noHBand="0" w:noVBand="1"/>
      </w:tblPr>
      <w:tblGrid>
        <w:gridCol w:w="2724"/>
        <w:gridCol w:w="1154"/>
        <w:gridCol w:w="1148"/>
        <w:gridCol w:w="1153"/>
        <w:gridCol w:w="1147"/>
        <w:gridCol w:w="1153"/>
        <w:gridCol w:w="1149"/>
      </w:tblGrid>
      <w:tr w:rsidR="0070771F"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71F" w:rsidRDefault="00561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Привлечено к ответственности при осуществлении регионального контроля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70771F"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ч. 3 ст. 14.16 КоАП РФ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2487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2854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711</w:t>
            </w:r>
          </w:p>
        </w:tc>
      </w:tr>
    </w:tbl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70771F">
          <w:headerReference w:type="default" r:id="rId7"/>
          <w:footerReference w:type="default" r:id="rId8"/>
          <w:headerReference w:type="first" r:id="rId9"/>
          <w:pgSz w:w="11906" w:h="16838"/>
          <w:pgMar w:top="1136" w:right="645" w:bottom="1013" w:left="1736" w:header="0" w:footer="0" w:gutter="0"/>
          <w:pgNumType w:start="1"/>
          <w:cols w:space="720"/>
          <w:formProt w:val="0"/>
          <w:docGrid w:linePitch="600" w:charSpace="36864"/>
        </w:sectPr>
      </w:pPr>
      <w:r>
        <w:rPr>
          <w:rFonts w:ascii="Times New Roman" w:hAnsi="Times New Roman"/>
          <w:spacing w:val="-2"/>
          <w:sz w:val="28"/>
          <w:szCs w:val="28"/>
        </w:rPr>
        <w:t>Однако после введения моратория своевременное выявление и дальнейшее привлечение виновных лиц оказались существенно ограничены из</w:t>
      </w:r>
      <w:r>
        <w:rPr>
          <w:rFonts w:ascii="Times New Roman" w:hAnsi="Times New Roman"/>
          <w:sz w:val="28"/>
          <w:szCs w:val="28"/>
        </w:rPr>
        <w:t xml:space="preserve">-за усложнившейся процедуры организации контрольно-надзорных мероприятий </w:t>
      </w:r>
      <w:r>
        <w:rPr>
          <w:rFonts w:ascii="Times New Roman" w:hAnsi="Times New Roman"/>
          <w:spacing w:val="-2"/>
          <w:sz w:val="28"/>
          <w:szCs w:val="28"/>
        </w:rPr>
        <w:t>при осуществлении регионального контроля, проводимой преимущественно</w:t>
      </w:r>
      <w:r>
        <w:rPr>
          <w:rFonts w:ascii="Times New Roman" w:hAnsi="Times New Roman"/>
          <w:sz w:val="28"/>
          <w:szCs w:val="28"/>
        </w:rPr>
        <w:t xml:space="preserve"> при поступлении многочисленных обращений граждан и социальной напряженности. </w:t>
      </w:r>
    </w:p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dark1"/>
          <w:spacing w:val="-2"/>
          <w:sz w:val="28"/>
          <w:szCs w:val="28"/>
          <w:shd w:val="clear" w:color="auto" w:fill="FFFFFF"/>
        </w:rPr>
        <w:lastRenderedPageBreak/>
        <w:t xml:space="preserve">Это подтверждается данными таблицы, из которой видно, что в указанный период произошло резкое увеличение числа выявленных нарушений, сопровождавшихся выдачей значительного количества официальных предостережений органами исполнительной власти, подтверждающих реальную угрозу общественному порядку и безопасности граждан. </w:t>
      </w:r>
    </w:p>
    <w:tbl>
      <w:tblPr>
        <w:tblW w:w="9628" w:type="dxa"/>
        <w:tblInd w:w="-226" w:type="dxa"/>
        <w:tblLayout w:type="fixed"/>
        <w:tblLook w:val="04A0" w:firstRow="1" w:lastRow="0" w:firstColumn="1" w:lastColumn="0" w:noHBand="0" w:noVBand="1"/>
      </w:tblPr>
      <w:tblGrid>
        <w:gridCol w:w="2724"/>
        <w:gridCol w:w="1154"/>
        <w:gridCol w:w="1148"/>
        <w:gridCol w:w="1153"/>
        <w:gridCol w:w="1147"/>
        <w:gridCol w:w="1153"/>
        <w:gridCol w:w="1149"/>
      </w:tblGrid>
      <w:tr w:rsidR="0070771F">
        <w:trPr>
          <w:trHeight w:val="795"/>
        </w:trPr>
        <w:tc>
          <w:tcPr>
            <w:tcW w:w="2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71F" w:rsidRDefault="00561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Объявлено предостережений при осуществлении регионального контроля, мероприятий по профилактике нарушений обязательных требований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70771F">
        <w:tc>
          <w:tcPr>
            <w:tcW w:w="2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71F" w:rsidRDefault="0070771F"/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1029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2339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1739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9537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11895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11870</w:t>
            </w:r>
          </w:p>
        </w:tc>
      </w:tr>
    </w:tbl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Контролируемые субъекты проявляют пренебрежительное отношение к результатам профилактических мероприятий, проводимых государственными органами надзора, демонстрируя равнодушие и пассивность к получаемым предупреждениям и замечаниям. </w:t>
      </w:r>
    </w:p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Налагаемые небольшие административные штрафы по результатам проведения внеплановых проверок часто оказываются неэффективными. Нарушение правил реализации алкоголя формирует у населения ошибочное представление о доступности алкоголя и увеличивает численность граждан, находящихся в состоянии алкогольного опьянения и совершающих административные проступки.</w:t>
      </w:r>
    </w:p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color w:val="000000" w:themeColor="dark1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dark1"/>
          <w:spacing w:val="-2"/>
          <w:sz w:val="28"/>
          <w:szCs w:val="28"/>
          <w:shd w:val="clear" w:color="auto" w:fill="FFFFFF"/>
        </w:rPr>
        <w:t xml:space="preserve">Ежегодно в состоянии алкогольного опьянения на территории Российской Федерации фиксируется значительное число преступлений, включающее совершение тяжких преступлений, таких как убийства, умышленное причинение тяжкого вреда здоровью, изнасилования, массовые проявления хулиганства, грабежи, разбойные нападения и угон автотранспортных средств. </w:t>
      </w:r>
    </w:p>
    <w:tbl>
      <w:tblPr>
        <w:tblW w:w="9634" w:type="dxa"/>
        <w:tblInd w:w="-226" w:type="dxa"/>
        <w:tblLayout w:type="fixed"/>
        <w:tblLook w:val="04A0" w:firstRow="1" w:lastRow="0" w:firstColumn="1" w:lastColumn="0" w:noHBand="0" w:noVBand="1"/>
      </w:tblPr>
      <w:tblGrid>
        <w:gridCol w:w="2228"/>
        <w:gridCol w:w="1168"/>
        <w:gridCol w:w="1267"/>
        <w:gridCol w:w="1201"/>
        <w:gridCol w:w="1137"/>
        <w:gridCol w:w="1133"/>
        <w:gridCol w:w="1500"/>
      </w:tblGrid>
      <w:tr w:rsidR="0070771F">
        <w:trPr>
          <w:trHeight w:val="976"/>
        </w:trPr>
        <w:tc>
          <w:tcPr>
            <w:tcW w:w="2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71F" w:rsidRDefault="005614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преступлений (из числа предварительно расследованных), совершенных в состоянии алкогольного опьянения </w:t>
            </w:r>
            <w:r>
              <w:rPr>
                <w:rFonts w:ascii="Times New Roman" w:hAnsi="Times New Roman"/>
                <w:color w:val="000000" w:themeColor="dark1"/>
                <w:sz w:val="24"/>
                <w:szCs w:val="24"/>
              </w:rPr>
              <w:t>на территории Российской Федерации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год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год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70771F">
        <w:trPr>
          <w:trHeight w:val="255"/>
        </w:trPr>
        <w:tc>
          <w:tcPr>
            <w:tcW w:w="2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71F" w:rsidRDefault="0070771F"/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323528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315440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289195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253075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223043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771F" w:rsidRDefault="005614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178533</w:t>
            </w:r>
          </w:p>
        </w:tc>
      </w:tr>
    </w:tbl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dark1"/>
          <w:spacing w:val="-2"/>
          <w:sz w:val="28"/>
          <w:szCs w:val="28"/>
        </w:rPr>
        <w:t xml:space="preserve">Вместе с тем даже многократное привлечение хозяйствующих субъектов к административной ответственности за нарушение правил реализации алкогольной продукции не приводит к прекращению нарушений. </w:t>
      </w:r>
    </w:p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color w:val="000000" w:themeColor="dark1"/>
          <w:spacing w:val="-2"/>
          <w:sz w:val="28"/>
          <w:szCs w:val="28"/>
        </w:rPr>
      </w:pPr>
      <w:r>
        <w:rPr>
          <w:rFonts w:ascii="Times New Roman" w:hAnsi="Times New Roman"/>
          <w:color w:val="000000" w:themeColor="dark1"/>
          <w:spacing w:val="-2"/>
          <w:sz w:val="28"/>
          <w:szCs w:val="28"/>
        </w:rPr>
        <w:t xml:space="preserve">Размер административного штрафа по части 3 статьи 14.16 КоАП РФ не соответствует степени общественной опасности правонарушения и не оказывает должного дисциплинирующего эффекта на недобросовестных продавцов. </w:t>
      </w:r>
    </w:p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dark1"/>
          <w:spacing w:val="-2"/>
          <w:sz w:val="28"/>
          <w:szCs w:val="28"/>
        </w:rPr>
        <w:t xml:space="preserve">Нанесенный ущерб в результате незаконной реализации алкогольной продукции значительно превышает уровень </w:t>
      </w:r>
      <w:r>
        <w:rPr>
          <w:rFonts w:ascii="Times New Roman" w:hAnsi="Times New Roman"/>
          <w:spacing w:val="-2"/>
          <w:sz w:val="28"/>
          <w:szCs w:val="28"/>
        </w:rPr>
        <w:t>существующих законодательных санкций за нарушение условий оборота такой продукции.</w:t>
      </w:r>
    </w:p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color w:val="000000" w:themeColor="dark1"/>
          <w:spacing w:val="-2"/>
          <w:sz w:val="28"/>
          <w:szCs w:val="28"/>
        </w:rPr>
      </w:pPr>
      <w:r>
        <w:rPr>
          <w:rFonts w:ascii="Times New Roman" w:hAnsi="Times New Roman"/>
          <w:color w:val="000000" w:themeColor="dark1"/>
          <w:spacing w:val="-2"/>
          <w:sz w:val="28"/>
          <w:szCs w:val="28"/>
        </w:rPr>
        <w:t xml:space="preserve">Размер административного штрафа, введенный в 2017 году, с учетом влияния инфляционных процессов привел к снижению его реального финансового бремени и ослаблению превентивного эффекта. Вместе с тем согласно положениям статьи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</w:t>
      </w:r>
      <w:proofErr w:type="gramStart"/>
      <w:r>
        <w:rPr>
          <w:rFonts w:ascii="Times New Roman" w:hAnsi="Times New Roman"/>
          <w:color w:val="000000" w:themeColor="dark1"/>
          <w:spacing w:val="-2"/>
          <w:sz w:val="28"/>
          <w:szCs w:val="28"/>
        </w:rPr>
        <w:t>правонарушений</w:t>
      </w:r>
      <w:proofErr w:type="gramEnd"/>
      <w:r>
        <w:rPr>
          <w:rFonts w:ascii="Times New Roman" w:hAnsi="Times New Roman"/>
          <w:color w:val="000000" w:themeColor="dark1"/>
          <w:spacing w:val="-2"/>
          <w:sz w:val="28"/>
          <w:szCs w:val="28"/>
        </w:rPr>
        <w:t xml:space="preserve"> как самим правонарушителем, так и другими лицами.</w:t>
      </w:r>
    </w:p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pacing w:val="-2"/>
          <w:sz w:val="28"/>
          <w:szCs w:val="28"/>
        </w:rPr>
        <w:t>За нарушение розничной продажи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 предусмотрена административная ответственность по части 2</w:t>
      </w:r>
      <w:r>
        <w:rPr>
          <w:rFonts w:ascii="Times New Roman" w:hAnsi="Times New Roman"/>
          <w:spacing w:val="-2"/>
          <w:sz w:val="28"/>
          <w:szCs w:val="28"/>
          <w:vertAlign w:val="superscript"/>
        </w:rPr>
        <w:t>2</w:t>
      </w:r>
      <w:r>
        <w:rPr>
          <w:rFonts w:ascii="Times New Roman" w:hAnsi="Times New Roman"/>
          <w:spacing w:val="-2"/>
          <w:sz w:val="28"/>
          <w:szCs w:val="28"/>
        </w:rPr>
        <w:t xml:space="preserve"> статьи 14.16 КоАП РФ в виде административного штрафа на должностных лиц в размере от ста тысяч до двухсот тысяч рублей;</w:t>
      </w:r>
      <w:proofErr w:type="gramEnd"/>
      <w:r>
        <w:rPr>
          <w:rFonts w:ascii="Times New Roman" w:hAnsi="Times New Roman"/>
          <w:spacing w:val="-2"/>
          <w:sz w:val="28"/>
          <w:szCs w:val="28"/>
        </w:rPr>
        <w:t xml:space="preserve"> на юридических лиц – от трехсот тысяч до пятисот тысяч рублей. Обязательное требование по запрету реализации алкогольной продукции в полимерной потребительской таре объемом более 1500 миллилитров также установлено статьей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 </w:t>
      </w:r>
    </w:p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Фактически часть 2</w:t>
      </w:r>
      <w:r>
        <w:rPr>
          <w:rFonts w:ascii="Times New Roman" w:hAnsi="Times New Roman"/>
          <w:spacing w:val="-2"/>
          <w:sz w:val="28"/>
          <w:szCs w:val="28"/>
          <w:vertAlign w:val="superscript"/>
        </w:rPr>
        <w:t>2</w:t>
      </w:r>
      <w:r>
        <w:rPr>
          <w:rFonts w:ascii="Times New Roman" w:hAnsi="Times New Roman"/>
          <w:spacing w:val="-2"/>
          <w:sz w:val="28"/>
          <w:szCs w:val="28"/>
        </w:rPr>
        <w:t xml:space="preserve"> и 3 статьи 14.16 КоАП РФ предусматривает ответственность за нарушение правил реализации алкогольной продукции. </w:t>
      </w:r>
    </w:p>
    <w:p w:rsidR="0070771F" w:rsidRDefault="009D4180">
      <w:pPr>
        <w:spacing w:after="0" w:line="312" w:lineRule="auto"/>
        <w:ind w:firstLine="709"/>
        <w:jc w:val="both"/>
      </w:pPr>
      <w:hyperlink r:id="rId10">
        <w:r w:rsidR="005614B1">
          <w:rPr>
            <w:rStyle w:val="a9"/>
            <w:rFonts w:ascii="Times New Roman" w:hAnsi="Times New Roman"/>
            <w:color w:val="000000" w:themeColor="dark1"/>
            <w:spacing w:val="-2"/>
            <w:sz w:val="28"/>
            <w:szCs w:val="28"/>
            <w:u w:val="none"/>
          </w:rPr>
          <w:t>Законопроект</w:t>
        </w:r>
      </w:hyperlink>
      <w:r w:rsidR="005614B1">
        <w:rPr>
          <w:rFonts w:ascii="Times New Roman" w:hAnsi="Times New Roman"/>
          <w:color w:val="000000" w:themeColor="dark1"/>
          <w:spacing w:val="-2"/>
          <w:sz w:val="28"/>
          <w:szCs w:val="28"/>
        </w:rPr>
        <w:t xml:space="preserve"> и пояснительная записка к нему были доработаны с учетом замечаний, изложенных в заключени</w:t>
      </w:r>
      <w:proofErr w:type="gramStart"/>
      <w:r w:rsidR="005614B1">
        <w:rPr>
          <w:rFonts w:ascii="Times New Roman" w:hAnsi="Times New Roman"/>
          <w:color w:val="000000" w:themeColor="dark1"/>
          <w:spacing w:val="-2"/>
          <w:sz w:val="28"/>
          <w:szCs w:val="28"/>
        </w:rPr>
        <w:t>и</w:t>
      </w:r>
      <w:proofErr w:type="gramEnd"/>
      <w:r w:rsidR="005614B1">
        <w:rPr>
          <w:rFonts w:ascii="Times New Roman" w:hAnsi="Times New Roman"/>
          <w:color w:val="000000" w:themeColor="dark1"/>
          <w:spacing w:val="-2"/>
          <w:sz w:val="28"/>
          <w:szCs w:val="28"/>
        </w:rPr>
        <w:t xml:space="preserve"> Правительства Российской Федерации (Исх. № ДГ-П11-30983 от 22.08.2025).  </w:t>
      </w:r>
    </w:p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После доработки законопроектом предлагается установление размера штрафа, который ниже предусмотренного частью 2</w:t>
      </w: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  <w:vertAlign w:val="superscript"/>
        </w:rPr>
        <w:t>1</w:t>
      </w: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 xml:space="preserve">статьи 14.16 КоАП РФ </w:t>
      </w: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>и значительно приближен к размеру штрафа, установленному частью 2</w:t>
      </w: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  <w:vertAlign w:val="superscript"/>
        </w:rPr>
        <w:t>2</w:t>
      </w:r>
      <w:r>
        <w:rPr>
          <w:rFonts w:ascii="Times New Roman" w:hAnsi="Times New Roman"/>
          <w:color w:val="000000"/>
          <w:spacing w:val="-2"/>
          <w:sz w:val="28"/>
          <w:szCs w:val="28"/>
          <w:shd w:val="clear" w:color="auto" w:fill="FFFFFF"/>
        </w:rPr>
        <w:t xml:space="preserve"> той же статьи </w:t>
      </w:r>
      <w:r>
        <w:rPr>
          <w:rFonts w:ascii="Times New Roman" w:hAnsi="Times New Roman"/>
          <w:spacing w:val="-2"/>
          <w:sz w:val="28"/>
          <w:szCs w:val="28"/>
        </w:rPr>
        <w:t>и составляет на должностных лиц от восьмидесяти тысяч до ста восьмидесяти тысяч рублей; на юридических лиц – от двухсот тысяч до четырехсот тысяч рублей.</w:t>
      </w:r>
      <w:proofErr w:type="gramEnd"/>
    </w:p>
    <w:p w:rsidR="0070771F" w:rsidRDefault="005614B1">
      <w:pPr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gramStart"/>
      <w:r>
        <w:rPr>
          <w:rFonts w:ascii="Times New Roman" w:hAnsi="Times New Roman"/>
          <w:spacing w:val="-2"/>
          <w:sz w:val="28"/>
          <w:szCs w:val="28"/>
        </w:rPr>
        <w:t>Таким образом, законопроект предусматривает усиление административной ответственности за нарушение особых требований и правил розничной продажи алкогольной и спиртосодержащей продукции, что будет способствовать более ответственному подходу организаций и должностных лиц к осуществлению своей деятельности, соблюдению требований действующего законодательства, сокращению количества административных правонарушений, а также повышению эффективности защиты прав и законных интересов граждан.</w:t>
      </w:r>
      <w:proofErr w:type="gramEnd"/>
    </w:p>
    <w:p w:rsidR="0070771F" w:rsidRDefault="0070771F">
      <w:pPr>
        <w:spacing w:line="312" w:lineRule="auto"/>
        <w:ind w:firstLine="709"/>
        <w:rPr>
          <w:rFonts w:ascii="Times New Roman" w:hAnsi="Times New Roman"/>
        </w:rPr>
      </w:pPr>
    </w:p>
    <w:p w:rsidR="0070771F" w:rsidRDefault="0070771F">
      <w:pPr>
        <w:spacing w:line="312" w:lineRule="auto"/>
        <w:ind w:firstLine="709"/>
        <w:rPr>
          <w:rFonts w:ascii="Times New Roman" w:hAnsi="Times New Roman"/>
        </w:rPr>
      </w:pPr>
    </w:p>
    <w:p w:rsidR="0070771F" w:rsidRDefault="0070771F">
      <w:pPr>
        <w:spacing w:line="312" w:lineRule="auto"/>
        <w:ind w:firstLine="709"/>
        <w:rPr>
          <w:rFonts w:ascii="Times New Roman" w:hAnsi="Times New Roman"/>
        </w:rPr>
      </w:pPr>
    </w:p>
    <w:p w:rsidR="0070771F" w:rsidRDefault="0070771F">
      <w:pPr>
        <w:spacing w:line="312" w:lineRule="auto"/>
        <w:ind w:firstLine="709"/>
        <w:rPr>
          <w:rFonts w:ascii="Times New Roman" w:hAnsi="Times New Roman"/>
        </w:rPr>
      </w:pPr>
    </w:p>
    <w:p w:rsidR="0070771F" w:rsidRDefault="0070771F">
      <w:pPr>
        <w:spacing w:line="312" w:lineRule="auto"/>
        <w:ind w:firstLine="709"/>
        <w:rPr>
          <w:rFonts w:ascii="Times New Roman" w:hAnsi="Times New Roman"/>
        </w:rPr>
      </w:pPr>
    </w:p>
    <w:p w:rsidR="0070771F" w:rsidRDefault="0070771F">
      <w:pPr>
        <w:spacing w:line="312" w:lineRule="auto"/>
        <w:ind w:firstLine="709"/>
        <w:rPr>
          <w:rFonts w:ascii="Times New Roman" w:hAnsi="Times New Roman"/>
        </w:rPr>
      </w:pPr>
    </w:p>
    <w:p w:rsidR="0070771F" w:rsidRDefault="0070771F">
      <w:pPr>
        <w:spacing w:line="312" w:lineRule="auto"/>
        <w:ind w:firstLine="709"/>
        <w:rPr>
          <w:rFonts w:ascii="Times New Roman" w:hAnsi="Times New Roman"/>
        </w:rPr>
      </w:pPr>
    </w:p>
    <w:p w:rsidR="0070771F" w:rsidRDefault="0070771F">
      <w:pPr>
        <w:spacing w:line="312" w:lineRule="auto"/>
        <w:ind w:firstLine="709"/>
        <w:rPr>
          <w:rFonts w:ascii="Times New Roman" w:hAnsi="Times New Roman"/>
        </w:rPr>
      </w:pPr>
    </w:p>
    <w:p w:rsidR="0070771F" w:rsidRDefault="0070771F">
      <w:pPr>
        <w:spacing w:line="312" w:lineRule="auto"/>
        <w:ind w:firstLine="709"/>
        <w:rPr>
          <w:rFonts w:ascii="Times New Roman" w:hAnsi="Times New Roman"/>
        </w:rPr>
      </w:pPr>
    </w:p>
    <w:p w:rsidR="0070771F" w:rsidRDefault="0070771F">
      <w:pPr>
        <w:spacing w:line="312" w:lineRule="auto"/>
        <w:ind w:firstLine="709"/>
        <w:rPr>
          <w:rFonts w:ascii="Times New Roman" w:hAnsi="Times New Roman"/>
        </w:rPr>
      </w:pPr>
    </w:p>
    <w:p w:rsidR="0070771F" w:rsidRDefault="0070771F">
      <w:pPr>
        <w:spacing w:line="312" w:lineRule="auto"/>
        <w:ind w:firstLine="709"/>
        <w:rPr>
          <w:rFonts w:ascii="Times New Roman" w:hAnsi="Times New Roman"/>
        </w:rPr>
      </w:pPr>
    </w:p>
    <w:p w:rsidR="0070771F" w:rsidRDefault="0070771F">
      <w:pPr>
        <w:spacing w:line="312" w:lineRule="auto"/>
        <w:ind w:firstLine="709"/>
        <w:rPr>
          <w:rFonts w:ascii="Times New Roman" w:hAnsi="Times New Roman"/>
        </w:rPr>
      </w:pPr>
    </w:p>
    <w:p w:rsidR="0070771F" w:rsidRDefault="0070771F">
      <w:pPr>
        <w:spacing w:after="160" w:line="259" w:lineRule="auto"/>
        <w:rPr>
          <w:rFonts w:ascii="Times New Roman" w:hAnsi="Times New Roman"/>
          <w:sz w:val="28"/>
          <w:szCs w:val="28"/>
        </w:rPr>
      </w:pPr>
      <w:bookmarkStart w:id="0" w:name="_GoBack_Копия_1"/>
      <w:bookmarkStart w:id="1" w:name="_GoBack"/>
      <w:bookmarkEnd w:id="0"/>
      <w:bookmarkEnd w:id="1"/>
    </w:p>
    <w:sectPr w:rsidR="0070771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677" w:bottom="1134" w:left="1704" w:header="0" w:footer="0" w:gutter="0"/>
      <w:pgNumType w:start="1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180" w:rsidRDefault="009D4180">
      <w:pPr>
        <w:spacing w:after="0" w:line="240" w:lineRule="auto"/>
      </w:pPr>
      <w:r>
        <w:separator/>
      </w:r>
    </w:p>
  </w:endnote>
  <w:endnote w:type="continuationSeparator" w:id="0">
    <w:p w:rsidR="009D4180" w:rsidRDefault="009D4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Arial"/>
    <w:charset w:val="01"/>
    <w:family w:val="swiss"/>
    <w:pitch w:val="variable"/>
  </w:font>
  <w:font w:name="Droid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1F" w:rsidRDefault="0070771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1F" w:rsidRDefault="0070771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1F" w:rsidRDefault="0070771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180" w:rsidRDefault="009D4180">
      <w:pPr>
        <w:spacing w:after="0" w:line="240" w:lineRule="auto"/>
      </w:pPr>
      <w:r>
        <w:separator/>
      </w:r>
    </w:p>
  </w:footnote>
  <w:footnote w:type="continuationSeparator" w:id="0">
    <w:p w:rsidR="009D4180" w:rsidRDefault="009D4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1F" w:rsidRDefault="0070771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1F" w:rsidRDefault="0070771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1F" w:rsidRDefault="0070771F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1F" w:rsidRDefault="0070771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71F"/>
    <w:rsid w:val="005614B1"/>
    <w:rsid w:val="0070771F"/>
    <w:rsid w:val="00824B3C"/>
    <w:rsid w:val="009D4180"/>
    <w:rsid w:val="00F3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qFormat/>
  </w:style>
  <w:style w:type="character" w:customStyle="1" w:styleId="a5">
    <w:name w:val="Текст выноски Знак"/>
    <w:basedOn w:val="a0"/>
    <w:link w:val="a6"/>
    <w:qFormat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qFormat/>
  </w:style>
  <w:style w:type="character" w:styleId="a9">
    <w:name w:val="Hyperlink"/>
    <w:basedOn w:val="a0"/>
    <w:rPr>
      <w:color w:val="0000FF"/>
      <w:u w:val="single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Open Sans" w:eastAsia="Tahoma" w:hAnsi="Open Sans" w:cs="Droid 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Droid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Droid Sans"/>
    </w:rPr>
  </w:style>
  <w:style w:type="paragraph" w:customStyle="1" w:styleId="HeaderandFooter">
    <w:name w:val="Header and Footer"/>
    <w:basedOn w:val="a"/>
    <w:qFormat/>
  </w:style>
  <w:style w:type="paragraph" w:styleId="a4">
    <w:name w:val="footer"/>
    <w:basedOn w:val="a"/>
    <w:link w:val="a3"/>
    <w:pPr>
      <w:tabs>
        <w:tab w:val="center" w:pos="4513"/>
        <w:tab w:val="right" w:pos="9026"/>
      </w:tabs>
      <w:spacing w:after="0" w:line="240" w:lineRule="auto"/>
    </w:p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a8">
    <w:name w:val="head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Содержимое врезки"/>
    <w:basedOn w:val="a"/>
    <w:qFormat/>
  </w:style>
  <w:style w:type="paragraph" w:customStyle="1" w:styleId="af0">
    <w:name w:val="Верхний колонтитул слева"/>
    <w:basedOn w:val="a8"/>
    <w:qFormat/>
    <w:pPr>
      <w:suppressLineNumbers/>
      <w:tabs>
        <w:tab w:val="clear" w:pos="4677"/>
        <w:tab w:val="clear" w:pos="9355"/>
        <w:tab w:val="center" w:pos="4821"/>
        <w:tab w:val="right" w:pos="9643"/>
      </w:tabs>
    </w:p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numbering" w:customStyle="1" w:styleId="af2">
    <w:name w:val="Без списка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qFormat/>
  </w:style>
  <w:style w:type="character" w:customStyle="1" w:styleId="a5">
    <w:name w:val="Текст выноски Знак"/>
    <w:basedOn w:val="a0"/>
    <w:link w:val="a6"/>
    <w:qFormat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qFormat/>
  </w:style>
  <w:style w:type="character" w:styleId="a9">
    <w:name w:val="Hyperlink"/>
    <w:basedOn w:val="a0"/>
    <w:rPr>
      <w:color w:val="0000FF"/>
      <w:u w:val="single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Open Sans" w:eastAsia="Tahoma" w:hAnsi="Open Sans" w:cs="Droid 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Droid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Droid Sans"/>
    </w:rPr>
  </w:style>
  <w:style w:type="paragraph" w:customStyle="1" w:styleId="HeaderandFooter">
    <w:name w:val="Header and Footer"/>
    <w:basedOn w:val="a"/>
    <w:qFormat/>
  </w:style>
  <w:style w:type="paragraph" w:styleId="a4">
    <w:name w:val="footer"/>
    <w:basedOn w:val="a"/>
    <w:link w:val="a3"/>
    <w:pPr>
      <w:tabs>
        <w:tab w:val="center" w:pos="4513"/>
        <w:tab w:val="right" w:pos="9026"/>
      </w:tabs>
      <w:spacing w:after="0" w:line="240" w:lineRule="auto"/>
    </w:p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a8">
    <w:name w:val="head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Содержимое врезки"/>
    <w:basedOn w:val="a"/>
    <w:qFormat/>
  </w:style>
  <w:style w:type="paragraph" w:customStyle="1" w:styleId="af0">
    <w:name w:val="Верхний колонтитул слева"/>
    <w:basedOn w:val="a8"/>
    <w:qFormat/>
    <w:pPr>
      <w:suppressLineNumbers/>
      <w:tabs>
        <w:tab w:val="clear" w:pos="4677"/>
        <w:tab w:val="clear" w:pos="9355"/>
        <w:tab w:val="center" w:pos="4821"/>
        <w:tab w:val="right" w:pos="9643"/>
      </w:tabs>
    </w:p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numbering" w:customStyle="1" w:styleId="af2">
    <w:name w:val="Без списка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PRJ&amp;n=265359&amp;dst=100001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Шмидт Наталья Юрьевна</dc:creator>
  <cp:lastModifiedBy>ОРЕХОВА Стелла Николаевна</cp:lastModifiedBy>
  <cp:revision>3</cp:revision>
  <cp:lastPrinted>2026-02-06T14:05:00Z</cp:lastPrinted>
  <dcterms:created xsi:type="dcterms:W3CDTF">2026-02-16T09:29:00Z</dcterms:created>
  <dcterms:modified xsi:type="dcterms:W3CDTF">2026-02-16T09:31:00Z</dcterms:modified>
  <dc:language>ru-RU</dc:language>
</cp:coreProperties>
</file>