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FA90" w14:textId="77777777" w:rsidR="001D0906" w:rsidRPr="00753022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Вносится сенаторами</w:t>
      </w:r>
    </w:p>
    <w:p w14:paraId="1A1743FA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 w:rsidRPr="00753022">
        <w:rPr>
          <w:rFonts w:ascii="Times New Roman" w:hAnsi="Times New Roman"/>
          <w:sz w:val="28"/>
          <w:szCs w:val="28"/>
        </w:rPr>
        <w:t>Российской Федерации</w:t>
      </w:r>
    </w:p>
    <w:p w14:paraId="70B1F42A" w14:textId="77777777" w:rsidR="00A665C9" w:rsidRDefault="00A665C9" w:rsidP="001D0906">
      <w:pPr>
        <w:pStyle w:val="aff7"/>
        <w:rPr>
          <w:rFonts w:ascii="Times New Roman" w:hAnsi="Times New Roman"/>
          <w:sz w:val="28"/>
          <w:szCs w:val="28"/>
        </w:rPr>
      </w:pPr>
    </w:p>
    <w:p w14:paraId="09978366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/>
          <w:sz w:val="28"/>
          <w:szCs w:val="28"/>
        </w:rPr>
        <w:t>Яцкиным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14988EAA" w14:textId="316C9DD7" w:rsidR="001D0906" w:rsidRPr="00753022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Якушевым</w:t>
      </w:r>
      <w:r w:rsidR="00EE5B4C">
        <w:rPr>
          <w:rFonts w:ascii="Times New Roman" w:hAnsi="Times New Roman"/>
          <w:sz w:val="28"/>
          <w:szCs w:val="28"/>
        </w:rPr>
        <w:t>,</w:t>
      </w:r>
    </w:p>
    <w:p w14:paraId="3BA5C27C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Д.Н. Вороной,</w:t>
      </w:r>
    </w:p>
    <w:p w14:paraId="6122E7C3" w14:textId="0EB2648A" w:rsidR="001D0906" w:rsidRDefault="00A665C9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Д.О.</w:t>
      </w:r>
      <w:r w:rsidR="001D0906">
        <w:rPr>
          <w:rFonts w:ascii="Times New Roman" w:hAnsi="Times New Roman"/>
          <w:sz w:val="28"/>
          <w:szCs w:val="28"/>
        </w:rPr>
        <w:t xml:space="preserve"> Рогозиным,</w:t>
      </w:r>
    </w:p>
    <w:p w14:paraId="13220014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Волошиным,</w:t>
      </w:r>
    </w:p>
    <w:p w14:paraId="1A69C9BF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/>
          <w:sz w:val="28"/>
          <w:szCs w:val="28"/>
        </w:rPr>
        <w:t>Никоноровой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676D6CFD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О.Е. Бас,</w:t>
      </w:r>
    </w:p>
    <w:p w14:paraId="6BFB267C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Д.С. Лантратовой,</w:t>
      </w:r>
    </w:p>
    <w:p w14:paraId="1D005790" w14:textId="77777777" w:rsidR="001D0906" w:rsidRDefault="001D0906" w:rsidP="001D0906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К.В. </w:t>
      </w:r>
      <w:proofErr w:type="spellStart"/>
      <w:r>
        <w:rPr>
          <w:rFonts w:ascii="Times New Roman" w:hAnsi="Times New Roman"/>
          <w:sz w:val="28"/>
          <w:szCs w:val="28"/>
        </w:rPr>
        <w:t>Басюком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14:paraId="727C154E" w14:textId="4B374844" w:rsidR="00A665C9" w:rsidRDefault="00A62366" w:rsidP="00A665C9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И.Ю. </w:t>
      </w:r>
      <w:proofErr w:type="spellStart"/>
      <w:r>
        <w:rPr>
          <w:rFonts w:ascii="Times New Roman" w:hAnsi="Times New Roman"/>
          <w:sz w:val="28"/>
          <w:szCs w:val="28"/>
        </w:rPr>
        <w:t>Кастюкевичем</w:t>
      </w:r>
      <w:proofErr w:type="spellEnd"/>
    </w:p>
    <w:p w14:paraId="43B47482" w14:textId="77777777" w:rsidR="00A665C9" w:rsidRDefault="00A665C9" w:rsidP="00A665C9">
      <w:pPr>
        <w:pStyle w:val="aff7"/>
        <w:rPr>
          <w:rFonts w:ascii="Times New Roman" w:hAnsi="Times New Roman"/>
          <w:sz w:val="28"/>
          <w:szCs w:val="28"/>
        </w:rPr>
      </w:pPr>
    </w:p>
    <w:p w14:paraId="7CE677CA" w14:textId="77777777" w:rsidR="00A665C9" w:rsidRDefault="00A665C9" w:rsidP="00A665C9">
      <w:pPr>
        <w:pStyle w:val="aff7"/>
        <w:rPr>
          <w:rFonts w:ascii="Times New Roman" w:hAnsi="Times New Roman"/>
          <w:sz w:val="28"/>
          <w:szCs w:val="28"/>
        </w:rPr>
      </w:pPr>
    </w:p>
    <w:p w14:paraId="4606E05C" w14:textId="1D4A3A8A" w:rsidR="00362985" w:rsidRDefault="0064581B" w:rsidP="00A665C9">
      <w:pPr>
        <w:pStyle w:val="af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1D0906">
        <w:rPr>
          <w:rFonts w:ascii="Times New Roman" w:hAnsi="Times New Roman"/>
          <w:sz w:val="28"/>
          <w:szCs w:val="28"/>
          <w:lang w:eastAsia="ar-SA"/>
        </w:rPr>
        <w:t>№</w:t>
      </w:r>
    </w:p>
    <w:p w14:paraId="10DA0583" w14:textId="77777777" w:rsidR="00362985" w:rsidRDefault="00362985">
      <w:pPr>
        <w:ind w:left="6379"/>
        <w:jc w:val="right"/>
        <w:rPr>
          <w:rFonts w:ascii="Times New Roman" w:eastAsia="Times New Roman" w:hAnsi="Times New Roman" w:cs="Arial"/>
          <w:sz w:val="28"/>
          <w:szCs w:val="28"/>
          <w:lang w:val="ru-RU" w:eastAsia="ar-SA"/>
        </w:rPr>
      </w:pPr>
    </w:p>
    <w:p w14:paraId="17122F22" w14:textId="77777777" w:rsidR="00362985" w:rsidRDefault="0036298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ar-SA"/>
        </w:rPr>
      </w:pPr>
    </w:p>
    <w:p w14:paraId="342609FE" w14:textId="77777777" w:rsidR="00362985" w:rsidRDefault="0036298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ar-SA"/>
        </w:rPr>
      </w:pPr>
    </w:p>
    <w:p w14:paraId="325A2A78" w14:textId="77777777" w:rsidR="00362985" w:rsidRDefault="0064581B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ar-SA"/>
        </w:rPr>
        <w:t>ФЕДЕРАЛЬНЫЙ ЗАКОН</w:t>
      </w:r>
    </w:p>
    <w:p w14:paraId="481C053A" w14:textId="6475F3C6" w:rsidR="00362985" w:rsidRDefault="0064581B">
      <w:pPr>
        <w:pStyle w:val="aff4"/>
        <w:spacing w:before="0" w:beforeAutospacing="0" w:after="0" w:afterAutospacing="0" w:line="180" w:lineRule="atLeast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 внесении изменений в Федеральный закон </w:t>
      </w:r>
      <w:r>
        <w:rPr>
          <w:b/>
          <w:sz w:val="28"/>
          <w:szCs w:val="28"/>
          <w:lang w:eastAsia="ar-SA"/>
        </w:rPr>
        <w:br/>
      </w:r>
      <w:r w:rsidR="00C12F91" w:rsidRPr="00C12F91">
        <w:rPr>
          <w:b/>
          <w:sz w:val="28"/>
          <w:szCs w:val="28"/>
          <w:lang w:eastAsia="ar-SA"/>
        </w:rPr>
        <w:t>"</w:t>
      </w:r>
      <w:r>
        <w:rPr>
          <w:b/>
          <w:sz w:val="28"/>
          <w:szCs w:val="28"/>
          <w:lang w:eastAsia="ar-SA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C12F91" w:rsidRPr="00C12F91">
        <w:rPr>
          <w:b/>
          <w:sz w:val="28"/>
          <w:szCs w:val="28"/>
          <w:lang w:eastAsia="ar-SA"/>
        </w:rPr>
        <w:t>"</w:t>
      </w:r>
    </w:p>
    <w:p w14:paraId="76014E6B" w14:textId="77777777" w:rsidR="00362985" w:rsidRDefault="0064581B">
      <w:pPr>
        <w:tabs>
          <w:tab w:val="left" w:pos="1838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ab/>
      </w:r>
    </w:p>
    <w:p w14:paraId="2B2A6299" w14:textId="77777777" w:rsidR="00362985" w:rsidRDefault="00362985">
      <w:pPr>
        <w:tabs>
          <w:tab w:val="left" w:pos="1838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</w:p>
    <w:p w14:paraId="141547A6" w14:textId="77777777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Статья 1</w:t>
      </w:r>
    </w:p>
    <w:p w14:paraId="0F6A6A66" w14:textId="7AD91094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Внести в Федеральный закон от 24 июня 2023 года № 266-ФЗ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 свободной экономической зоне на территориях Донецкой Народной Республики, Луганской Народной Республики, Запорожской области, Херсонской области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  <w:t>и на прилегающих территориях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(Собрание законодательства Российской Федерации, 2023, № 26, ст. 4674; 2024, № 26, ст. 3549) следующие изменения:</w:t>
      </w:r>
    </w:p>
    <w:p w14:paraId="00807C49" w14:textId="7BE0292F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1) в </w:t>
      </w:r>
      <w:r w:rsidR="00245078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части 1 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стать</w:t>
      </w:r>
      <w:r w:rsidR="00245078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7:</w:t>
      </w:r>
    </w:p>
    <w:p w14:paraId="5C2CBCF5" w14:textId="4AE0E9E3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 пункт 8 признать утратившим силу; </w:t>
      </w:r>
    </w:p>
    <w:p w14:paraId="3B59E4F0" w14:textId="7BC730BE" w:rsidR="00362985" w:rsidRPr="008B1711" w:rsidRDefault="00C12F91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б) 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дополнить пунктами 8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1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и 8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2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следующего содержания:</w:t>
      </w:r>
    </w:p>
    <w:p w14:paraId="02B099A4" w14:textId="6950C9FD" w:rsidR="00362985" w:rsidRPr="008B1711" w:rsidRDefault="00C12F91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8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1</w:t>
      </w:r>
      <w:r w:rsidR="0064581B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) организует предоставление участнику находящегося в собственности управляющей компании земельного участка, необходимого для реализации инвестиционного проекта, в аренду с правом выкупа такого земельного участка;</w:t>
      </w:r>
    </w:p>
    <w:p w14:paraId="4C02E2DF" w14:textId="05BE0095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8</w:t>
      </w:r>
      <w:r w:rsidRPr="008B1711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2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) организует предоставление участнику в субаренду находящегося </w:t>
      </w:r>
      <w:r w:rsidR="00245078"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 государственной или муниципальной собственности земельного участка, необходимого для реализации инвестиционного проекта и предоставленного управляющей компании в аренду;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25C66AFE" w14:textId="77777777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2) в статье 12:</w:t>
      </w:r>
    </w:p>
    <w:p w14:paraId="480364EB" w14:textId="3A045C2B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 в части 3 цифры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30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заменить цифрами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10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4543729F" w14:textId="31EF092B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б) часть 7 после слов «заключения о возможности» дополнить словами 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или невозможности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47912324" w14:textId="77777777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в) в части 8:</w:t>
      </w:r>
    </w:p>
    <w:p w14:paraId="25FDECB4" w14:textId="6A2950E4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слова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заключение по вопросу возможности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заменить словами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заключение о возможности или невозможности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96E79F4" w14:textId="384A17F5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после слов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с заявителем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словами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в порядке, в том числе содержащим критерии оценки возможности или невозможности заключения договора об условиях деятельности в свободной экономической зоне с заявителем, определенном высшим исполнительным органом субъекта Российской Федерации по согласованию с уполномоченным Правительством Российской Федерации федеральным органом исполнительной власти,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E4940D6" w14:textId="77777777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г) части 9 и 10 признать утратившими силу;</w:t>
      </w:r>
    </w:p>
    <w:p w14:paraId="1B491841" w14:textId="67528D45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д) в части 11 слова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и при отсутствии по указанному заключению неурегулированных разногласий либо решения коллегиального органа, образованного Правительством Российской Федерации, предусмотренного частью 10 настоящей статьи,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исключить;</w:t>
      </w:r>
    </w:p>
    <w:p w14:paraId="5E34262A" w14:textId="77777777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е) в части 15:</w:t>
      </w:r>
    </w:p>
    <w:p w14:paraId="11A90E13" w14:textId="2B43B9A8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пункт 1 после слов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участнику свидетельство о включении в единый реестр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словами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в электронной форме или на бумажном носителе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8DA933" w14:textId="52BBAB7A" w:rsidR="00362985" w:rsidRPr="008B1711" w:rsidRDefault="0064581B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в пункте 2 слова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копию свидетельства о включении в единый реестр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заменить словами </w:t>
      </w:r>
      <w:bookmarkStart w:id="0" w:name="_Hlk178249601"/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свидетельство о включении в единый реестр в электронной форме или его копию на бумажном носителе</w:t>
      </w:r>
      <w:bookmarkEnd w:id="0"/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EA0C924" w14:textId="77777777" w:rsidR="00362985" w:rsidRPr="008B1711" w:rsidRDefault="0064581B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ж) дополнить частью 15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следующего содержания:</w:t>
      </w:r>
    </w:p>
    <w:p w14:paraId="59514C15" w14:textId="0AE0DC07" w:rsidR="00362985" w:rsidRPr="008B1711" w:rsidRDefault="00C12F91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Hlk178249649"/>
      <w:r w:rsidRPr="008B1711">
        <w:rPr>
          <w:rFonts w:ascii="Times New Roman" w:hAnsi="Times New Roman" w:cs="Times New Roman"/>
          <w:sz w:val="28"/>
          <w:szCs w:val="28"/>
          <w:lang w:val="ru-RU"/>
        </w:rPr>
        <w:lastRenderedPageBreak/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Свидетельство о включении в единый реестр выдается участнику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электронной форме, а в случаях подачи участником письменного заявления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>о выдаче свидетельства о включении в единый реестр на бумажном носителе либо отсутствия у управляющей компании технической возможности для выдачи участнику свидетельства о включении в единый реестр в электронной форме свидетельство о включении в единый реестр выдается на бумажном носителе.</w:t>
      </w:r>
      <w:bookmarkEnd w:id="1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EE0B1F3" w14:textId="2DE53E92" w:rsidR="00362985" w:rsidRPr="008B1711" w:rsidRDefault="00245078" w:rsidP="006971AA">
      <w:pPr>
        <w:pStyle w:val="aff0"/>
        <w:tabs>
          <w:tab w:val="left" w:pos="993"/>
          <w:tab w:val="left" w:pos="1134"/>
        </w:tabs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часть 1 статьи 13 дополнить пунктом 4 следующего содержания:</w:t>
      </w:r>
    </w:p>
    <w:p w14:paraId="2D177578" w14:textId="0E27FF4D" w:rsidR="00362985" w:rsidRPr="008B1711" w:rsidRDefault="00C12F91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Hlk178249698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4) наличие предусмотренного частью 8 статьи 12 настоящего Федерального закона заключения высшего исполнительного органа субъекта Российской Федерации о невозможности заключения договора об условиях деятельности в свободной экономической зоне с заявителем.</w:t>
      </w:r>
      <w:bookmarkEnd w:id="2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8024D4A" w14:textId="61FE736F" w:rsidR="00362985" w:rsidRPr="008B1711" w:rsidRDefault="00245078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) в статье 14:</w:t>
      </w:r>
    </w:p>
    <w:p w14:paraId="0B5C01C7" w14:textId="1702C94E" w:rsidR="00362985" w:rsidRPr="008B1711" w:rsidRDefault="0064581B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а) наименование после слов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единого реестра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словами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, замена участника в едином реестре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3BCE65D" w14:textId="6DB84E5A" w:rsidR="00362985" w:rsidRPr="008B1711" w:rsidRDefault="0064581B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б) пункт 2 части 1 после слов 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в связи с ликвидацией юридического лица, его реорганизацией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словами </w:t>
      </w:r>
      <w:bookmarkStart w:id="3" w:name="_Hlk178249749"/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(за исключением случая замены </w:t>
      </w:r>
      <w:r w:rsidRPr="008B1711">
        <w:rPr>
          <w:rFonts w:ascii="Times New Roman" w:hAnsi="Times New Roman" w:cs="Times New Roman"/>
          <w:spacing w:val="-4"/>
          <w:sz w:val="28"/>
          <w:szCs w:val="28"/>
          <w:lang w:val="ru-RU"/>
        </w:rPr>
        <w:t>участника в едином реестре в связи с его реорганизацией в форме преобразования)</w:t>
      </w:r>
      <w:bookmarkEnd w:id="3"/>
      <w:r w:rsidR="00C12F91" w:rsidRPr="008B171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"</w:t>
      </w:r>
      <w:r w:rsidRPr="008B1711">
        <w:rPr>
          <w:rFonts w:ascii="Times New Roman" w:hAnsi="Times New Roman" w:cs="Times New Roman"/>
          <w:spacing w:val="-4"/>
          <w:sz w:val="28"/>
          <w:szCs w:val="28"/>
          <w:lang w:val="ru-RU"/>
        </w:rPr>
        <w:t>;</w:t>
      </w:r>
    </w:p>
    <w:p w14:paraId="60DE6B07" w14:textId="77777777" w:rsidR="00362985" w:rsidRPr="008B1711" w:rsidRDefault="0064581B" w:rsidP="006971AA">
      <w:pPr>
        <w:tabs>
          <w:tab w:val="left" w:pos="993"/>
          <w:tab w:val="left" w:pos="113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в) дополнить частью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4FBCE54D" w14:textId="0748351D" w:rsidR="00362985" w:rsidRPr="008B1711" w:rsidRDefault="00C12F91" w:rsidP="006971AA">
      <w:pPr>
        <w:pStyle w:val="aff0"/>
        <w:tabs>
          <w:tab w:val="left" w:pos="993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Участник подлежит замене в едином реестре на лицо, к которому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>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 такого участника в соответствии с частями 1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и 1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статьи 15 настоящего Федерального закона.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CB59B2F" w14:textId="183ED5B5" w:rsidR="00362985" w:rsidRPr="008B1711" w:rsidRDefault="00245078" w:rsidP="006971AA">
      <w:pPr>
        <w:pStyle w:val="aff0"/>
        <w:spacing w:line="360" w:lineRule="auto"/>
        <w:ind w:left="0"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) в статье 15: </w:t>
      </w:r>
      <w:bookmarkStart w:id="4" w:name="_Hlk178249816"/>
      <w:bookmarkEnd w:id="4"/>
    </w:p>
    <w:p w14:paraId="7E0F163D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а) дополнить частями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- 1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23D51CE5" w14:textId="3553ADB9" w:rsidR="00362985" w:rsidRPr="008B1711" w:rsidRDefault="00C12F91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Hlk178249888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В случае намерения лица, к которому в результате реорганизации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форме преобразования перешли права и обязанности по договору (договорам)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об условиях деятельности в свободной экономической зоне, продолжить реализацию инвестиционного проекта (инвестиционных проектов), предусмотренного таким договором (договорами), указанное лицо вправе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представить в управляющую компанию заявление о внесении необходимых изменений в договор (договоры) об условиях деятельности в свободной экономической зоне. </w:t>
      </w:r>
    </w:p>
    <w:p w14:paraId="41C2450C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В течение трех рабочих дней со дня вступления в силу дополнительного соглашения к договору об условиях деятельности в свободной экономической зоне (дня вступления в силу последнего из заключенных дополнительных соглашений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к договорам об условиях деятельности в свободной экономической зоне, если участником заключено несколько договоров об условиях деятельности в свободной экономической зоне), предусматривающего внесение изменений в договор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>об условиях деятельности в свободной экономической зоне в указанном в части 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настоящей статьи случае, управляющая компания вносит в единый реестр запись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о замене участника в связи с его реорганизацией в форме преобразования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>и осуществляет иные действия, предусмотренные частью 15 статьи 12 настоящего Федерального закона.</w:t>
      </w:r>
    </w:p>
    <w:p w14:paraId="54DFBE9E" w14:textId="4A144AB9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Внесение изменений в договор (договоры) об условиях деятельности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в свободной экономической зоне в связи с реорганизацией участника в форме преобразования не рассматривается в качестве заключения другого (нового) договора (договоров) об условиях деятельности в свободной экономической зоне, не предусматривает реализацию другого (нового) инвестиционного проекта (инвестиционных проектов) и не влечет пересмотра условий применения к лицу,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 xml:space="preserve">к которому в результате реорганизации в форме преобразования перешли права 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br/>
        <w:t>и обязанности по договору (договорам) об условиях деятельности в свободной экономической зоне, особого режима осуществления предпринимательской и иной деятельности в свободной экономической зоне, а также таможенной процедуры свободной таможенной зоны.</w:t>
      </w:r>
      <w:r w:rsidR="00C12F91"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A08466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б) в части 2:</w:t>
      </w:r>
    </w:p>
    <w:p w14:paraId="7703FE17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пункт 4 дополнить словами «и (или) снижение объема капитальных вложений за указанный период»;</w:t>
      </w:r>
    </w:p>
    <w:p w14:paraId="6F37ABAB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дополнить пунктом 7 следующего содержания:</w:t>
      </w:r>
    </w:p>
    <w:p w14:paraId="45C1ADF1" w14:textId="3BDE538C" w:rsidR="00362985" w:rsidRPr="008B1711" w:rsidRDefault="00C12F91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lastRenderedPageBreak/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7) наличие заключения высшего исполнительного органа субъекта Российской Федерации о невозможности внесения изменений в договор </w:t>
      </w:r>
      <w:r w:rsidR="00245078" w:rsidRPr="008B1711">
        <w:rPr>
          <w:rFonts w:ascii="Times New Roman" w:hAnsi="Times New Roman" w:cs="Times New Roman"/>
          <w:sz w:val="28"/>
          <w:szCs w:val="28"/>
          <w:lang w:val="ru-RU"/>
        </w:rPr>
        <w:br/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об условиях деятельности в свободной экономической зоне.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bookmarkEnd w:id="5"/>
    </w:p>
    <w:p w14:paraId="323AC2E7" w14:textId="77777777" w:rsidR="00362985" w:rsidRPr="008B1711" w:rsidRDefault="0064581B" w:rsidP="006971AA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6) в статье 16:</w:t>
      </w:r>
    </w:p>
    <w:p w14:paraId="1353F548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а) часть 4 изложить в следующей редакции: </w:t>
      </w:r>
    </w:p>
    <w:p w14:paraId="16F58B13" w14:textId="2A7E50A5" w:rsidR="00362985" w:rsidRPr="008B1711" w:rsidRDefault="00C12F91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_Hlk178250028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4. В случае если свидетельство о включении в единый реестр ранее выдано участнику на бумажном носителе, к заявлению о замене свидетельства о включении в единый реестр, выдаче его дубликата прилагается бланк ранее выданного свидетельства, за исключением случая, предусмотренного пунктом 4 части 1 настоящей статьи.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  <w:bookmarkEnd w:id="6"/>
    </w:p>
    <w:p w14:paraId="64E5090E" w14:textId="77777777" w:rsidR="00362985" w:rsidRPr="008B1711" w:rsidRDefault="0064581B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711">
        <w:rPr>
          <w:rFonts w:ascii="Times New Roman" w:hAnsi="Times New Roman" w:cs="Times New Roman"/>
          <w:sz w:val="28"/>
          <w:szCs w:val="28"/>
          <w:lang w:val="ru-RU"/>
        </w:rPr>
        <w:t>б) дополнить частью 4</w:t>
      </w:r>
      <w:r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41993DEB" w14:textId="36879484" w:rsidR="00362985" w:rsidRPr="008B1711" w:rsidRDefault="00C12F91" w:rsidP="006971AA">
      <w:pPr>
        <w:pStyle w:val="aff0"/>
        <w:tabs>
          <w:tab w:val="left" w:pos="3510"/>
        </w:tabs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_Hlk178250242"/>
      <w:r w:rsidRPr="008B1711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4581B" w:rsidRPr="008B1711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. По заявлению участника при наступлении случаев, предусмотренных частью 1 настоящей статьи, взамен свидетельства о включении в единый реестр 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br/>
        <w:t>на бумажном носителе может быть выдано свидетельство о включении в единый реестр в электронной форме при наличии у управляющей компании такой технической возможности.</w:t>
      </w:r>
      <w:r w:rsidR="00245078" w:rsidRPr="008B1711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r w:rsidR="0064581B" w:rsidRPr="008B1711">
        <w:rPr>
          <w:rFonts w:ascii="Times New Roman" w:hAnsi="Times New Roman" w:cs="Times New Roman"/>
          <w:sz w:val="28"/>
          <w:szCs w:val="28"/>
          <w:lang w:val="ru-RU"/>
        </w:rPr>
        <w:t>;</w:t>
      </w:r>
      <w:bookmarkEnd w:id="7"/>
    </w:p>
    <w:p w14:paraId="2EE9466D" w14:textId="367BA064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 xml:space="preserve">в) в части 5 слова </w:t>
      </w:r>
      <w:r w:rsidR="00245078" w:rsidRPr="008B1711">
        <w:rPr>
          <w:sz w:val="28"/>
          <w:szCs w:val="28"/>
        </w:rPr>
        <w:t>"</w:t>
      </w:r>
      <w:r w:rsidRPr="008B1711">
        <w:rPr>
          <w:sz w:val="28"/>
          <w:szCs w:val="28"/>
        </w:rPr>
        <w:t xml:space="preserve">изготавливает соответственно новое свидетельство </w:t>
      </w:r>
      <w:r w:rsidRPr="008B1711">
        <w:rPr>
          <w:sz w:val="28"/>
          <w:szCs w:val="28"/>
        </w:rPr>
        <w:br/>
        <w:t>о включении в единый реестр, его дубликат» заменить словами «</w:t>
      </w:r>
      <w:bookmarkStart w:id="8" w:name="_Hlk178250274"/>
      <w:r w:rsidRPr="008B1711">
        <w:rPr>
          <w:sz w:val="28"/>
          <w:szCs w:val="28"/>
        </w:rPr>
        <w:t>осуществляет подготовку нового свидетельства о включении в единый реестр, его дубликата</w:t>
      </w:r>
      <w:bookmarkEnd w:id="8"/>
      <w:r w:rsidR="00C12F91" w:rsidRPr="008B1711">
        <w:rPr>
          <w:sz w:val="28"/>
          <w:szCs w:val="28"/>
        </w:rPr>
        <w:t>"</w:t>
      </w:r>
      <w:r w:rsidRPr="008B1711">
        <w:rPr>
          <w:sz w:val="28"/>
          <w:szCs w:val="28"/>
        </w:rPr>
        <w:t>;</w:t>
      </w:r>
    </w:p>
    <w:p w14:paraId="463F8635" w14:textId="4F1A82D3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7) в статье 19:</w:t>
      </w:r>
    </w:p>
    <w:p w14:paraId="0E0C8B74" w14:textId="77777777" w:rsidR="00362985" w:rsidRPr="008B1711" w:rsidRDefault="0064581B" w:rsidP="006971AA">
      <w:pPr>
        <w:pStyle w:val="aff0"/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 часть 8 признать утратившей силу; </w:t>
      </w:r>
    </w:p>
    <w:p w14:paraId="124E9FB5" w14:textId="2FD121ED" w:rsidR="00362985" w:rsidRPr="008B1711" w:rsidRDefault="00C12F91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  <w:lang w:eastAsia="ar-SA"/>
        </w:rPr>
        <w:t xml:space="preserve">б) </w:t>
      </w:r>
      <w:r w:rsidR="0064581B" w:rsidRPr="008B1711">
        <w:rPr>
          <w:sz w:val="28"/>
          <w:szCs w:val="28"/>
          <w:lang w:eastAsia="ar-SA"/>
        </w:rPr>
        <w:t>дополнить частями 8</w:t>
      </w:r>
      <w:r w:rsidR="0064581B" w:rsidRPr="008B1711">
        <w:rPr>
          <w:sz w:val="28"/>
          <w:szCs w:val="28"/>
          <w:vertAlign w:val="superscript"/>
          <w:lang w:eastAsia="ar-SA"/>
        </w:rPr>
        <w:t>1</w:t>
      </w:r>
      <w:r w:rsidR="00245078" w:rsidRPr="008B1711">
        <w:rPr>
          <w:sz w:val="28"/>
          <w:szCs w:val="28"/>
          <w:vertAlign w:val="superscript"/>
          <w:lang w:eastAsia="ar-SA"/>
        </w:rPr>
        <w:t xml:space="preserve"> </w:t>
      </w:r>
      <w:r w:rsidR="00245078" w:rsidRPr="008B1711">
        <w:rPr>
          <w:sz w:val="28"/>
          <w:szCs w:val="28"/>
          <w:lang w:eastAsia="ar-SA"/>
        </w:rPr>
        <w:t xml:space="preserve">- </w:t>
      </w:r>
      <w:r w:rsidR="0064581B" w:rsidRPr="008B1711">
        <w:rPr>
          <w:sz w:val="28"/>
          <w:szCs w:val="28"/>
          <w:lang w:eastAsia="ar-SA"/>
        </w:rPr>
        <w:t>8</w:t>
      </w:r>
      <w:r w:rsidR="0064581B" w:rsidRPr="008B1711">
        <w:rPr>
          <w:sz w:val="28"/>
          <w:szCs w:val="28"/>
          <w:vertAlign w:val="superscript"/>
          <w:lang w:eastAsia="ar-SA"/>
        </w:rPr>
        <w:t>3</w:t>
      </w:r>
      <w:r w:rsidR="0064581B" w:rsidRPr="008B1711">
        <w:rPr>
          <w:sz w:val="28"/>
          <w:szCs w:val="28"/>
          <w:lang w:eastAsia="ar-SA"/>
        </w:rPr>
        <w:t xml:space="preserve"> следующего</w:t>
      </w:r>
      <w:r w:rsidR="0064581B" w:rsidRPr="008B1711">
        <w:rPr>
          <w:sz w:val="28"/>
          <w:szCs w:val="28"/>
        </w:rPr>
        <w:t xml:space="preserve"> содержания:</w:t>
      </w:r>
    </w:p>
    <w:p w14:paraId="6D51AFED" w14:textId="5127B1D1" w:rsidR="00362985" w:rsidRPr="008B1711" w:rsidRDefault="00C12F91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"</w:t>
      </w:r>
      <w:r w:rsidR="0064581B" w:rsidRPr="008B1711">
        <w:rPr>
          <w:color w:val="000000" w:themeColor="text1"/>
          <w:sz w:val="28"/>
          <w:szCs w:val="28"/>
        </w:rPr>
        <w:t>8</w:t>
      </w:r>
      <w:r w:rsidR="0064581B" w:rsidRPr="008B1711">
        <w:rPr>
          <w:color w:val="000000" w:themeColor="text1"/>
          <w:sz w:val="28"/>
          <w:szCs w:val="28"/>
          <w:vertAlign w:val="superscript"/>
        </w:rPr>
        <w:t>1</w:t>
      </w:r>
      <w:r w:rsidR="0064581B" w:rsidRPr="008B1711">
        <w:rPr>
          <w:color w:val="000000" w:themeColor="text1"/>
          <w:sz w:val="28"/>
          <w:szCs w:val="28"/>
        </w:rPr>
        <w:t xml:space="preserve">. Находящиеся в собственности управляющей компании земельные участки, необходимые для реализации участником договора об условиях деятельности в свободной экономической зоне, передаются управляющей компанией участнику в аренду с правом выкупа. Передача участнику указанных земельных участков в аренду, в том числе с правом выкупа, осуществляется </w:t>
      </w:r>
      <w:r w:rsidR="0064581B" w:rsidRPr="008B1711">
        <w:rPr>
          <w:color w:val="000000" w:themeColor="text1"/>
          <w:sz w:val="28"/>
          <w:szCs w:val="28"/>
        </w:rPr>
        <w:br/>
        <w:t xml:space="preserve">без проведения торгов в порядке и на условиях, которые установлены </w:t>
      </w:r>
      <w:r w:rsidR="0064581B" w:rsidRPr="008B1711">
        <w:rPr>
          <w:sz w:val="28"/>
          <w:szCs w:val="28"/>
        </w:rPr>
        <w:t xml:space="preserve">Правительством Российской Федерации. </w:t>
      </w:r>
    </w:p>
    <w:p w14:paraId="71D71ABE" w14:textId="0ABD4002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trike/>
          <w:color w:val="FF0000"/>
          <w:sz w:val="28"/>
          <w:szCs w:val="28"/>
        </w:rPr>
      </w:pPr>
      <w:r w:rsidRPr="008B1711">
        <w:rPr>
          <w:sz w:val="28"/>
          <w:szCs w:val="28"/>
        </w:rPr>
        <w:lastRenderedPageBreak/>
        <w:t>8</w:t>
      </w:r>
      <w:r w:rsidRPr="008B1711">
        <w:rPr>
          <w:sz w:val="28"/>
          <w:szCs w:val="28"/>
          <w:vertAlign w:val="superscript"/>
        </w:rPr>
        <w:t>2</w:t>
      </w:r>
      <w:r w:rsidRPr="008B1711">
        <w:rPr>
          <w:sz w:val="28"/>
          <w:szCs w:val="28"/>
        </w:rPr>
        <w:t>. Находящиеся в государственной или муниципальной собственности</w:t>
      </w:r>
      <w:r w:rsidRPr="008B1711">
        <w:rPr>
          <w:color w:val="000000" w:themeColor="text1"/>
          <w:sz w:val="28"/>
          <w:szCs w:val="28"/>
        </w:rPr>
        <w:t xml:space="preserve"> земельные участки, предоставленные управляющей компании в аренду </w:t>
      </w:r>
      <w:r w:rsidR="00245078" w:rsidRPr="008B1711">
        <w:rPr>
          <w:color w:val="000000" w:themeColor="text1"/>
          <w:sz w:val="28"/>
          <w:szCs w:val="28"/>
        </w:rPr>
        <w:br/>
      </w:r>
      <w:r w:rsidRPr="008B1711">
        <w:rPr>
          <w:color w:val="000000" w:themeColor="text1"/>
          <w:sz w:val="28"/>
          <w:szCs w:val="28"/>
        </w:rPr>
        <w:t xml:space="preserve">и необходимые для реализации участником договора об условиях деятельности </w:t>
      </w:r>
      <w:r w:rsidR="00245078" w:rsidRPr="008B1711">
        <w:rPr>
          <w:color w:val="000000" w:themeColor="text1"/>
          <w:sz w:val="28"/>
          <w:szCs w:val="28"/>
        </w:rPr>
        <w:br/>
      </w:r>
      <w:r w:rsidRPr="008B1711">
        <w:rPr>
          <w:color w:val="000000" w:themeColor="text1"/>
          <w:sz w:val="28"/>
          <w:szCs w:val="28"/>
        </w:rPr>
        <w:t>в свободной экономической зоне, передаются управляющей компанией участнику в субаренду. Передача участнику указанных земельных участков в субаренду осуществляется без проведения торгов в порядке и на условиях, которые установлены Правительством Российской Федерации</w:t>
      </w:r>
      <w:r w:rsidRPr="008B1711">
        <w:rPr>
          <w:sz w:val="28"/>
          <w:szCs w:val="28"/>
        </w:rPr>
        <w:t>.</w:t>
      </w:r>
    </w:p>
    <w:p w14:paraId="3806983F" w14:textId="15A7CD24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color w:val="000000" w:themeColor="text1"/>
          <w:sz w:val="28"/>
          <w:szCs w:val="28"/>
        </w:rPr>
        <w:t>8</w:t>
      </w:r>
      <w:r w:rsidRPr="008B1711">
        <w:rPr>
          <w:color w:val="000000" w:themeColor="text1"/>
          <w:sz w:val="28"/>
          <w:szCs w:val="28"/>
          <w:vertAlign w:val="superscript"/>
        </w:rPr>
        <w:t>3</w:t>
      </w:r>
      <w:r w:rsidRPr="008B1711">
        <w:rPr>
          <w:color w:val="000000" w:themeColor="text1"/>
          <w:sz w:val="28"/>
          <w:szCs w:val="28"/>
        </w:rPr>
        <w:t>. Передача участнику земельных участков, указанных в частях 8</w:t>
      </w:r>
      <w:r w:rsidRPr="008B1711">
        <w:rPr>
          <w:color w:val="000000" w:themeColor="text1"/>
          <w:sz w:val="28"/>
          <w:szCs w:val="28"/>
          <w:vertAlign w:val="superscript"/>
        </w:rPr>
        <w:t>1</w:t>
      </w:r>
      <w:r w:rsidRPr="008B1711">
        <w:rPr>
          <w:color w:val="000000" w:themeColor="text1"/>
          <w:sz w:val="28"/>
          <w:szCs w:val="28"/>
        </w:rPr>
        <w:t xml:space="preserve"> и 8</w:t>
      </w:r>
      <w:r w:rsidRPr="008B1711">
        <w:rPr>
          <w:color w:val="000000" w:themeColor="text1"/>
          <w:sz w:val="28"/>
          <w:szCs w:val="28"/>
          <w:vertAlign w:val="superscript"/>
        </w:rPr>
        <w:t>2</w:t>
      </w:r>
      <w:r w:rsidR="00245078" w:rsidRPr="008B1711">
        <w:rPr>
          <w:color w:val="000000" w:themeColor="text1"/>
          <w:sz w:val="28"/>
          <w:szCs w:val="28"/>
          <w:vertAlign w:val="superscript"/>
        </w:rPr>
        <w:t xml:space="preserve"> </w:t>
      </w:r>
      <w:r w:rsidR="00245078" w:rsidRPr="008B1711">
        <w:rPr>
          <w:color w:val="000000" w:themeColor="text1"/>
          <w:sz w:val="28"/>
          <w:szCs w:val="28"/>
        </w:rPr>
        <w:t>настоящей статьи</w:t>
      </w:r>
      <w:r w:rsidRPr="008B1711">
        <w:rPr>
          <w:color w:val="000000" w:themeColor="text1"/>
          <w:sz w:val="28"/>
          <w:szCs w:val="28"/>
        </w:rPr>
        <w:t xml:space="preserve">, в аренду или субаренду осуществляется на срок, </w:t>
      </w:r>
      <w:r w:rsidR="00245078" w:rsidRPr="008B1711">
        <w:rPr>
          <w:color w:val="000000" w:themeColor="text1"/>
          <w:sz w:val="28"/>
          <w:szCs w:val="28"/>
        </w:rPr>
        <w:br/>
      </w:r>
      <w:r w:rsidRPr="008B1711">
        <w:rPr>
          <w:color w:val="000000" w:themeColor="text1"/>
          <w:sz w:val="28"/>
          <w:szCs w:val="28"/>
        </w:rPr>
        <w:t xml:space="preserve">не превышающий срока функционирования свободной экономической зоны, </w:t>
      </w:r>
      <w:r w:rsidR="00245078" w:rsidRPr="008B1711">
        <w:rPr>
          <w:color w:val="000000" w:themeColor="text1"/>
          <w:sz w:val="28"/>
          <w:szCs w:val="28"/>
        </w:rPr>
        <w:br/>
      </w:r>
      <w:r w:rsidRPr="008B1711">
        <w:rPr>
          <w:color w:val="000000" w:themeColor="text1"/>
          <w:sz w:val="28"/>
          <w:szCs w:val="28"/>
        </w:rPr>
        <w:t xml:space="preserve">но не менее срока реализации участником договора об условиях деятельности </w:t>
      </w:r>
      <w:r w:rsidR="00245078" w:rsidRPr="008B1711">
        <w:rPr>
          <w:color w:val="000000" w:themeColor="text1"/>
          <w:sz w:val="28"/>
          <w:szCs w:val="28"/>
        </w:rPr>
        <w:br/>
      </w:r>
      <w:r w:rsidRPr="008B1711">
        <w:rPr>
          <w:color w:val="000000" w:themeColor="text1"/>
          <w:sz w:val="28"/>
          <w:szCs w:val="28"/>
        </w:rPr>
        <w:t xml:space="preserve">в </w:t>
      </w:r>
      <w:r w:rsidRPr="008B1711">
        <w:rPr>
          <w:sz w:val="28"/>
          <w:szCs w:val="28"/>
        </w:rPr>
        <w:t>свободной экономической зоне.</w:t>
      </w:r>
      <w:r w:rsidR="00C12F91" w:rsidRPr="008B1711">
        <w:rPr>
          <w:sz w:val="28"/>
          <w:szCs w:val="28"/>
        </w:rPr>
        <w:t xml:space="preserve"> "</w:t>
      </w:r>
      <w:r w:rsidRPr="008B1711">
        <w:rPr>
          <w:sz w:val="28"/>
          <w:szCs w:val="28"/>
        </w:rPr>
        <w:t>.</w:t>
      </w:r>
    </w:p>
    <w:p w14:paraId="700B8B31" w14:textId="77777777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b/>
          <w:sz w:val="28"/>
          <w:szCs w:val="28"/>
        </w:rPr>
      </w:pPr>
      <w:r w:rsidRPr="008B1711">
        <w:rPr>
          <w:b/>
          <w:sz w:val="28"/>
          <w:szCs w:val="28"/>
        </w:rPr>
        <w:t>Статья 2</w:t>
      </w:r>
    </w:p>
    <w:p w14:paraId="05E7BCA2" w14:textId="77777777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1.</w:t>
      </w:r>
      <w:r w:rsidRPr="008B1711">
        <w:rPr>
          <w:bCs/>
          <w:sz w:val="28"/>
          <w:szCs w:val="28"/>
          <w:lang w:eastAsia="ar-SA"/>
        </w:rPr>
        <w:t xml:space="preserve"> </w:t>
      </w:r>
      <w:r w:rsidRPr="008B1711">
        <w:rPr>
          <w:sz w:val="28"/>
          <w:szCs w:val="28"/>
        </w:rPr>
        <w:t>Настоящий Федеральный закон вступает в силу по истечении трех месяцев со дня его официального опубликования.</w:t>
      </w:r>
    </w:p>
    <w:p w14:paraId="263C40A2" w14:textId="77777777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 xml:space="preserve">2. Действие положений части 3 статьи 12 Федерального закона от 24 июня 2023 года № 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(в редакции настоящего Федерального закона) распространяется на правоотношения, связанные </w:t>
      </w:r>
      <w:r w:rsidRPr="008B1711">
        <w:rPr>
          <w:sz w:val="28"/>
          <w:szCs w:val="28"/>
        </w:rPr>
        <w:br/>
        <w:t>с заключением договоров об условиях деятельности в свободной экономической зоне после вступления в силу настоящего Федерального закона.</w:t>
      </w:r>
    </w:p>
    <w:p w14:paraId="18E06BE8" w14:textId="28F2EA51" w:rsidR="00362985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3. Действие положений пункт</w:t>
      </w:r>
      <w:r w:rsidR="0057450C" w:rsidRPr="008B1711">
        <w:rPr>
          <w:sz w:val="28"/>
          <w:szCs w:val="28"/>
        </w:rPr>
        <w:t>а</w:t>
      </w:r>
      <w:r w:rsidRPr="008B1711">
        <w:rPr>
          <w:sz w:val="28"/>
          <w:szCs w:val="28"/>
        </w:rPr>
        <w:t xml:space="preserve"> 8</w:t>
      </w:r>
      <w:r w:rsidR="00EF4A7A" w:rsidRPr="008B1711">
        <w:rPr>
          <w:sz w:val="28"/>
          <w:szCs w:val="28"/>
          <w:vertAlign w:val="superscript"/>
        </w:rPr>
        <w:t>1</w:t>
      </w:r>
      <w:r w:rsidR="00EF4A7A" w:rsidRPr="008B1711">
        <w:rPr>
          <w:sz w:val="28"/>
          <w:szCs w:val="28"/>
        </w:rPr>
        <w:t xml:space="preserve"> </w:t>
      </w:r>
      <w:r w:rsidRPr="008B1711">
        <w:rPr>
          <w:sz w:val="28"/>
          <w:szCs w:val="28"/>
        </w:rPr>
        <w:t>части 1 статьи 7 и част</w:t>
      </w:r>
      <w:r w:rsidR="0057450C" w:rsidRPr="008B1711">
        <w:rPr>
          <w:sz w:val="28"/>
          <w:szCs w:val="28"/>
        </w:rPr>
        <w:t>и</w:t>
      </w:r>
      <w:r w:rsidRPr="008B1711">
        <w:rPr>
          <w:sz w:val="28"/>
          <w:szCs w:val="28"/>
        </w:rPr>
        <w:t xml:space="preserve"> 8</w:t>
      </w:r>
      <w:r w:rsidR="00EF4A7A" w:rsidRPr="008B1711">
        <w:rPr>
          <w:sz w:val="28"/>
          <w:szCs w:val="28"/>
          <w:vertAlign w:val="superscript"/>
        </w:rPr>
        <w:t>1</w:t>
      </w:r>
      <w:r w:rsidRPr="008B1711">
        <w:rPr>
          <w:sz w:val="28"/>
          <w:szCs w:val="28"/>
        </w:rPr>
        <w:t xml:space="preserve"> </w:t>
      </w:r>
      <w:r w:rsidR="00EF4A7A" w:rsidRPr="008B1711">
        <w:rPr>
          <w:sz w:val="28"/>
          <w:szCs w:val="28"/>
        </w:rPr>
        <w:br/>
      </w:r>
      <w:r w:rsidRPr="008B1711">
        <w:rPr>
          <w:sz w:val="28"/>
          <w:szCs w:val="28"/>
        </w:rPr>
        <w:t xml:space="preserve">статьи 19 Федерального закона от 24 июня 2023 года № 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</w:t>
      </w:r>
      <w:r w:rsidR="00EF4A7A" w:rsidRPr="008B1711">
        <w:rPr>
          <w:sz w:val="28"/>
          <w:szCs w:val="28"/>
        </w:rPr>
        <w:br/>
      </w:r>
      <w:r w:rsidRPr="008B1711">
        <w:rPr>
          <w:sz w:val="28"/>
          <w:szCs w:val="28"/>
        </w:rPr>
        <w:t xml:space="preserve">и на прилегающих территориях" (в редакции настоящего Федерального закона) распространяется на правоотношения по выкупу земельных участков, необходимых для реализации инвестиционного проекта и переданных </w:t>
      </w:r>
      <w:r w:rsidRPr="008B1711">
        <w:rPr>
          <w:sz w:val="28"/>
          <w:szCs w:val="28"/>
        </w:rPr>
        <w:lastRenderedPageBreak/>
        <w:t>управляющей компанией участникам в аренду до вступления в силу настоящего Федерального закона.</w:t>
      </w:r>
    </w:p>
    <w:p w14:paraId="51865102" w14:textId="6175AE1A" w:rsidR="003F1E9B" w:rsidRPr="008B1711" w:rsidRDefault="0064581B" w:rsidP="006971AA">
      <w:pPr>
        <w:pStyle w:val="aff4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8B1711">
        <w:rPr>
          <w:sz w:val="28"/>
          <w:szCs w:val="28"/>
        </w:rPr>
        <w:t>4. Действие положений ста</w:t>
      </w:r>
      <w:bookmarkStart w:id="9" w:name="_GoBack"/>
      <w:bookmarkEnd w:id="9"/>
      <w:r w:rsidRPr="008B1711">
        <w:rPr>
          <w:sz w:val="28"/>
          <w:szCs w:val="28"/>
        </w:rPr>
        <w:t>тьи 15 Федерального закона от 24 июня 2023 года № 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(в редакции настоящего Федерального закона) распространяется на правоотношения</w:t>
      </w:r>
      <w:r w:rsidR="00017101" w:rsidRPr="008B1711">
        <w:rPr>
          <w:sz w:val="28"/>
          <w:szCs w:val="28"/>
        </w:rPr>
        <w:t>,</w:t>
      </w:r>
      <w:r w:rsidRPr="008B1711">
        <w:rPr>
          <w:sz w:val="28"/>
          <w:szCs w:val="28"/>
        </w:rPr>
        <w:t xml:space="preserve"> </w:t>
      </w:r>
      <w:r w:rsidR="00017101" w:rsidRPr="008B1711">
        <w:rPr>
          <w:sz w:val="28"/>
          <w:szCs w:val="28"/>
        </w:rPr>
        <w:t xml:space="preserve">связанные с </w:t>
      </w:r>
      <w:r w:rsidRPr="008B1711">
        <w:rPr>
          <w:sz w:val="28"/>
          <w:szCs w:val="28"/>
        </w:rPr>
        <w:t>внесени</w:t>
      </w:r>
      <w:r w:rsidR="00017101" w:rsidRPr="008B1711">
        <w:rPr>
          <w:sz w:val="28"/>
          <w:szCs w:val="28"/>
        </w:rPr>
        <w:t>ем</w:t>
      </w:r>
      <w:r w:rsidRPr="008B1711">
        <w:rPr>
          <w:sz w:val="28"/>
          <w:szCs w:val="28"/>
        </w:rPr>
        <w:t xml:space="preserve"> изменений </w:t>
      </w:r>
      <w:r w:rsidR="00017101" w:rsidRPr="008B1711">
        <w:rPr>
          <w:sz w:val="28"/>
          <w:szCs w:val="28"/>
        </w:rPr>
        <w:br/>
      </w:r>
      <w:r w:rsidRPr="008B1711">
        <w:rPr>
          <w:sz w:val="28"/>
          <w:szCs w:val="28"/>
        </w:rPr>
        <w:t xml:space="preserve">в договоры об условиях деятельности в свободной экономической зоне, заключенные до вступления в силу настоящего Федерального закона. </w:t>
      </w:r>
    </w:p>
    <w:p w14:paraId="255743B6" w14:textId="77777777" w:rsidR="002A6265" w:rsidRPr="008B1711" w:rsidRDefault="0064581B" w:rsidP="006971AA">
      <w:pPr>
        <w:tabs>
          <w:tab w:val="center" w:pos="147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           </w:t>
      </w:r>
    </w:p>
    <w:p w14:paraId="25068CF5" w14:textId="77777777" w:rsidR="002A6265" w:rsidRPr="008B1711" w:rsidRDefault="002A6265" w:rsidP="006971AA">
      <w:pPr>
        <w:tabs>
          <w:tab w:val="center" w:pos="147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14:paraId="075A649B" w14:textId="77777777" w:rsidR="002A6265" w:rsidRPr="008B1711" w:rsidRDefault="002A6265" w:rsidP="006971AA">
      <w:pPr>
        <w:tabs>
          <w:tab w:val="center" w:pos="147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</w:p>
    <w:p w14:paraId="3E72D710" w14:textId="1FCD60C8" w:rsidR="00362985" w:rsidRPr="008B1711" w:rsidRDefault="0064581B" w:rsidP="006971AA">
      <w:pPr>
        <w:tabs>
          <w:tab w:val="center" w:pos="147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Президент</w:t>
      </w:r>
    </w:p>
    <w:p w14:paraId="56B147EB" w14:textId="74C460C8" w:rsidR="00362985" w:rsidRPr="008B1711" w:rsidRDefault="0064581B" w:rsidP="006971AA">
      <w:pPr>
        <w:tabs>
          <w:tab w:val="center" w:pos="1474"/>
          <w:tab w:val="left" w:pos="8364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Российской Федерации </w:t>
      </w:r>
      <w:r w:rsidRPr="008B1711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ab/>
      </w:r>
    </w:p>
    <w:sectPr w:rsidR="00362985" w:rsidRPr="008B1711" w:rsidSect="006971AA">
      <w:headerReference w:type="default" r:id="rId8"/>
      <w:pgSz w:w="11906" w:h="16838"/>
      <w:pgMar w:top="1276" w:right="851" w:bottom="993" w:left="1134" w:header="709" w:footer="720" w:gutter="0"/>
      <w:cols w:space="720"/>
      <w:titlePg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B064671"/>
  <w16cid:commentId w16cid:paraId="00000002" w16cid:durableId="775BE952"/>
  <w16cid:commentId w16cid:paraId="00000003" w16cid:durableId="3564DB2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84F1C" w14:textId="77777777" w:rsidR="004B0215" w:rsidRDefault="004B0215">
      <w:r>
        <w:separator/>
      </w:r>
    </w:p>
  </w:endnote>
  <w:endnote w:type="continuationSeparator" w:id="0">
    <w:p w14:paraId="70EA8581" w14:textId="77777777" w:rsidR="004B0215" w:rsidRDefault="004B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62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A0668" w14:textId="77777777" w:rsidR="004B0215" w:rsidRDefault="004B0215">
      <w:r>
        <w:separator/>
      </w:r>
    </w:p>
  </w:footnote>
  <w:footnote w:type="continuationSeparator" w:id="0">
    <w:p w14:paraId="3213ACB8" w14:textId="77777777" w:rsidR="004B0215" w:rsidRDefault="004B0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6ECDE" w14:textId="4766973A" w:rsidR="00362985" w:rsidRDefault="0064581B">
    <w:pPr>
      <w:pStyle w:val="af7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971AA">
      <w:rPr>
        <w:rFonts w:ascii="Times New Roman" w:hAnsi="Times New Roman" w:cs="Times New Roman"/>
        <w:noProof/>
        <w:sz w:val="24"/>
        <w:szCs w:val="24"/>
      </w:rPr>
      <w:t>7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B73E2"/>
    <w:multiLevelType w:val="hybridMultilevel"/>
    <w:tmpl w:val="E0F6DB9E"/>
    <w:lvl w:ilvl="0" w:tplc="CEB0BC42">
      <w:start w:val="1"/>
      <w:numFmt w:val="decimal"/>
      <w:lvlText w:val="%1)"/>
      <w:lvlJc w:val="left"/>
      <w:pPr>
        <w:ind w:left="1211" w:hanging="360"/>
      </w:pPr>
    </w:lvl>
    <w:lvl w:ilvl="1" w:tplc="CADC08E8">
      <w:start w:val="1"/>
      <w:numFmt w:val="lowerLetter"/>
      <w:lvlText w:val="%2."/>
      <w:lvlJc w:val="left"/>
      <w:pPr>
        <w:ind w:left="1931" w:hanging="360"/>
      </w:pPr>
    </w:lvl>
    <w:lvl w:ilvl="2" w:tplc="29A60988">
      <w:start w:val="1"/>
      <w:numFmt w:val="lowerRoman"/>
      <w:lvlText w:val="%3."/>
      <w:lvlJc w:val="right"/>
      <w:pPr>
        <w:ind w:left="2651" w:hanging="180"/>
      </w:pPr>
    </w:lvl>
    <w:lvl w:ilvl="3" w:tplc="20D86C44">
      <w:start w:val="1"/>
      <w:numFmt w:val="decimal"/>
      <w:lvlText w:val="%4."/>
      <w:lvlJc w:val="left"/>
      <w:pPr>
        <w:ind w:left="3371" w:hanging="360"/>
      </w:pPr>
    </w:lvl>
    <w:lvl w:ilvl="4" w:tplc="EBFA7330">
      <w:start w:val="1"/>
      <w:numFmt w:val="lowerLetter"/>
      <w:lvlText w:val="%5."/>
      <w:lvlJc w:val="left"/>
      <w:pPr>
        <w:ind w:left="4091" w:hanging="360"/>
      </w:pPr>
    </w:lvl>
    <w:lvl w:ilvl="5" w:tplc="8DDE016E">
      <w:start w:val="1"/>
      <w:numFmt w:val="lowerRoman"/>
      <w:lvlText w:val="%6."/>
      <w:lvlJc w:val="right"/>
      <w:pPr>
        <w:ind w:left="4811" w:hanging="180"/>
      </w:pPr>
    </w:lvl>
    <w:lvl w:ilvl="6" w:tplc="36FE327C">
      <w:start w:val="1"/>
      <w:numFmt w:val="decimal"/>
      <w:lvlText w:val="%7."/>
      <w:lvlJc w:val="left"/>
      <w:pPr>
        <w:ind w:left="5531" w:hanging="360"/>
      </w:pPr>
    </w:lvl>
    <w:lvl w:ilvl="7" w:tplc="0BAE5D64">
      <w:start w:val="1"/>
      <w:numFmt w:val="lowerLetter"/>
      <w:lvlText w:val="%8."/>
      <w:lvlJc w:val="left"/>
      <w:pPr>
        <w:ind w:left="6251" w:hanging="360"/>
      </w:pPr>
    </w:lvl>
    <w:lvl w:ilvl="8" w:tplc="1C78898E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F75F16"/>
    <w:multiLevelType w:val="hybridMultilevel"/>
    <w:tmpl w:val="1F823276"/>
    <w:lvl w:ilvl="0" w:tplc="31FAA8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A7B08AE6">
      <w:start w:val="1"/>
      <w:numFmt w:val="lowerLetter"/>
      <w:lvlText w:val="%2."/>
      <w:lvlJc w:val="left"/>
      <w:pPr>
        <w:ind w:left="1931" w:hanging="360"/>
      </w:pPr>
    </w:lvl>
    <w:lvl w:ilvl="2" w:tplc="10A4D09E">
      <w:start w:val="1"/>
      <w:numFmt w:val="lowerRoman"/>
      <w:lvlText w:val="%3."/>
      <w:lvlJc w:val="right"/>
      <w:pPr>
        <w:ind w:left="2651" w:hanging="180"/>
      </w:pPr>
    </w:lvl>
    <w:lvl w:ilvl="3" w:tplc="FD6CA954">
      <w:start w:val="1"/>
      <w:numFmt w:val="decimal"/>
      <w:lvlText w:val="%4."/>
      <w:lvlJc w:val="left"/>
      <w:pPr>
        <w:ind w:left="3371" w:hanging="360"/>
      </w:pPr>
    </w:lvl>
    <w:lvl w:ilvl="4" w:tplc="72688B4C">
      <w:start w:val="1"/>
      <w:numFmt w:val="lowerLetter"/>
      <w:lvlText w:val="%5."/>
      <w:lvlJc w:val="left"/>
      <w:pPr>
        <w:ind w:left="4091" w:hanging="360"/>
      </w:pPr>
    </w:lvl>
    <w:lvl w:ilvl="5" w:tplc="8CB8E3F4">
      <w:start w:val="1"/>
      <w:numFmt w:val="lowerRoman"/>
      <w:lvlText w:val="%6."/>
      <w:lvlJc w:val="right"/>
      <w:pPr>
        <w:ind w:left="4811" w:hanging="180"/>
      </w:pPr>
    </w:lvl>
    <w:lvl w:ilvl="6" w:tplc="9544F0A4">
      <w:start w:val="1"/>
      <w:numFmt w:val="decimal"/>
      <w:lvlText w:val="%7."/>
      <w:lvlJc w:val="left"/>
      <w:pPr>
        <w:ind w:left="5531" w:hanging="360"/>
      </w:pPr>
    </w:lvl>
    <w:lvl w:ilvl="7" w:tplc="8DAEB45A">
      <w:start w:val="1"/>
      <w:numFmt w:val="lowerLetter"/>
      <w:lvlText w:val="%8."/>
      <w:lvlJc w:val="left"/>
      <w:pPr>
        <w:ind w:left="6251" w:hanging="360"/>
      </w:pPr>
    </w:lvl>
    <w:lvl w:ilvl="8" w:tplc="7EEE0804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3E7529D"/>
    <w:multiLevelType w:val="hybridMultilevel"/>
    <w:tmpl w:val="4FFAAC06"/>
    <w:lvl w:ilvl="0" w:tplc="15EA2A90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5A10B1A2">
      <w:start w:val="1"/>
      <w:numFmt w:val="lowerLetter"/>
      <w:lvlText w:val="%2."/>
      <w:lvlJc w:val="left"/>
      <w:pPr>
        <w:ind w:left="1931" w:hanging="360"/>
      </w:pPr>
    </w:lvl>
    <w:lvl w:ilvl="2" w:tplc="1C960E70">
      <w:start w:val="1"/>
      <w:numFmt w:val="lowerRoman"/>
      <w:lvlText w:val="%3."/>
      <w:lvlJc w:val="right"/>
      <w:pPr>
        <w:ind w:left="2651" w:hanging="180"/>
      </w:pPr>
    </w:lvl>
    <w:lvl w:ilvl="3" w:tplc="4F68B420">
      <w:start w:val="1"/>
      <w:numFmt w:val="decimal"/>
      <w:lvlText w:val="%4."/>
      <w:lvlJc w:val="left"/>
      <w:pPr>
        <w:ind w:left="3371" w:hanging="360"/>
      </w:pPr>
    </w:lvl>
    <w:lvl w:ilvl="4" w:tplc="BDBC5630">
      <w:start w:val="1"/>
      <w:numFmt w:val="lowerLetter"/>
      <w:lvlText w:val="%5."/>
      <w:lvlJc w:val="left"/>
      <w:pPr>
        <w:ind w:left="4091" w:hanging="360"/>
      </w:pPr>
    </w:lvl>
    <w:lvl w:ilvl="5" w:tplc="02FE17F6">
      <w:start w:val="1"/>
      <w:numFmt w:val="lowerRoman"/>
      <w:lvlText w:val="%6."/>
      <w:lvlJc w:val="right"/>
      <w:pPr>
        <w:ind w:left="4811" w:hanging="180"/>
      </w:pPr>
    </w:lvl>
    <w:lvl w:ilvl="6" w:tplc="763C6AC0">
      <w:start w:val="1"/>
      <w:numFmt w:val="decimal"/>
      <w:lvlText w:val="%7."/>
      <w:lvlJc w:val="left"/>
      <w:pPr>
        <w:ind w:left="5531" w:hanging="360"/>
      </w:pPr>
    </w:lvl>
    <w:lvl w:ilvl="7" w:tplc="D5A833CA">
      <w:start w:val="1"/>
      <w:numFmt w:val="lowerLetter"/>
      <w:lvlText w:val="%8."/>
      <w:lvlJc w:val="left"/>
      <w:pPr>
        <w:ind w:left="6251" w:hanging="360"/>
      </w:pPr>
    </w:lvl>
    <w:lvl w:ilvl="8" w:tplc="5054FE22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85E3663"/>
    <w:multiLevelType w:val="hybridMultilevel"/>
    <w:tmpl w:val="4B905806"/>
    <w:lvl w:ilvl="0" w:tplc="6A1AFAEE">
      <w:start w:val="1"/>
      <w:numFmt w:val="decimal"/>
      <w:lvlText w:val="%1)"/>
      <w:lvlJc w:val="left"/>
      <w:pPr>
        <w:ind w:left="1789" w:hanging="360"/>
      </w:pPr>
    </w:lvl>
    <w:lvl w:ilvl="1" w:tplc="2BAA6724">
      <w:start w:val="1"/>
      <w:numFmt w:val="lowerLetter"/>
      <w:lvlText w:val="%2."/>
      <w:lvlJc w:val="left"/>
      <w:pPr>
        <w:ind w:left="2509" w:hanging="360"/>
      </w:pPr>
    </w:lvl>
    <w:lvl w:ilvl="2" w:tplc="6900A788">
      <w:start w:val="1"/>
      <w:numFmt w:val="lowerRoman"/>
      <w:lvlText w:val="%3."/>
      <w:lvlJc w:val="right"/>
      <w:pPr>
        <w:ind w:left="3229" w:hanging="180"/>
      </w:pPr>
    </w:lvl>
    <w:lvl w:ilvl="3" w:tplc="AE3012C8">
      <w:start w:val="1"/>
      <w:numFmt w:val="decimal"/>
      <w:lvlText w:val="%4."/>
      <w:lvlJc w:val="left"/>
      <w:pPr>
        <w:ind w:left="3949" w:hanging="360"/>
      </w:pPr>
    </w:lvl>
    <w:lvl w:ilvl="4" w:tplc="022CAA94">
      <w:start w:val="1"/>
      <w:numFmt w:val="lowerLetter"/>
      <w:lvlText w:val="%5."/>
      <w:lvlJc w:val="left"/>
      <w:pPr>
        <w:ind w:left="4669" w:hanging="360"/>
      </w:pPr>
    </w:lvl>
    <w:lvl w:ilvl="5" w:tplc="62002F4A">
      <w:start w:val="1"/>
      <w:numFmt w:val="lowerRoman"/>
      <w:lvlText w:val="%6."/>
      <w:lvlJc w:val="right"/>
      <w:pPr>
        <w:ind w:left="5389" w:hanging="180"/>
      </w:pPr>
    </w:lvl>
    <w:lvl w:ilvl="6" w:tplc="7F14B922">
      <w:start w:val="1"/>
      <w:numFmt w:val="decimal"/>
      <w:lvlText w:val="%7."/>
      <w:lvlJc w:val="left"/>
      <w:pPr>
        <w:ind w:left="6109" w:hanging="360"/>
      </w:pPr>
    </w:lvl>
    <w:lvl w:ilvl="7" w:tplc="CE38DA26">
      <w:start w:val="1"/>
      <w:numFmt w:val="lowerLetter"/>
      <w:lvlText w:val="%8."/>
      <w:lvlJc w:val="left"/>
      <w:pPr>
        <w:ind w:left="6829" w:hanging="360"/>
      </w:pPr>
    </w:lvl>
    <w:lvl w:ilvl="8" w:tplc="76B6B502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3C5D0A81"/>
    <w:multiLevelType w:val="hybridMultilevel"/>
    <w:tmpl w:val="2EAAB2E0"/>
    <w:lvl w:ilvl="0" w:tplc="DEC6F4C0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258A7DDC">
      <w:start w:val="1"/>
      <w:numFmt w:val="lowerLetter"/>
      <w:lvlText w:val="%2."/>
      <w:lvlJc w:val="left"/>
      <w:pPr>
        <w:ind w:left="1156" w:hanging="360"/>
      </w:pPr>
    </w:lvl>
    <w:lvl w:ilvl="2" w:tplc="0798A760">
      <w:start w:val="1"/>
      <w:numFmt w:val="lowerRoman"/>
      <w:lvlText w:val="%3."/>
      <w:lvlJc w:val="right"/>
      <w:pPr>
        <w:ind w:left="1876" w:hanging="180"/>
      </w:pPr>
    </w:lvl>
    <w:lvl w:ilvl="3" w:tplc="9DF08398">
      <w:start w:val="1"/>
      <w:numFmt w:val="decimal"/>
      <w:lvlText w:val="%4."/>
      <w:lvlJc w:val="left"/>
      <w:pPr>
        <w:ind w:left="2596" w:hanging="360"/>
      </w:pPr>
    </w:lvl>
    <w:lvl w:ilvl="4" w:tplc="DA56B026">
      <w:start w:val="1"/>
      <w:numFmt w:val="lowerLetter"/>
      <w:lvlText w:val="%5."/>
      <w:lvlJc w:val="left"/>
      <w:pPr>
        <w:ind w:left="3316" w:hanging="360"/>
      </w:pPr>
    </w:lvl>
    <w:lvl w:ilvl="5" w:tplc="52A8804E">
      <w:start w:val="1"/>
      <w:numFmt w:val="lowerRoman"/>
      <w:lvlText w:val="%6."/>
      <w:lvlJc w:val="right"/>
      <w:pPr>
        <w:ind w:left="4036" w:hanging="180"/>
      </w:pPr>
    </w:lvl>
    <w:lvl w:ilvl="6" w:tplc="BEEAC41E">
      <w:start w:val="1"/>
      <w:numFmt w:val="decimal"/>
      <w:lvlText w:val="%7."/>
      <w:lvlJc w:val="left"/>
      <w:pPr>
        <w:ind w:left="4756" w:hanging="360"/>
      </w:pPr>
    </w:lvl>
    <w:lvl w:ilvl="7" w:tplc="38B0098C">
      <w:start w:val="1"/>
      <w:numFmt w:val="lowerLetter"/>
      <w:lvlText w:val="%8."/>
      <w:lvlJc w:val="left"/>
      <w:pPr>
        <w:ind w:left="5476" w:hanging="360"/>
      </w:pPr>
    </w:lvl>
    <w:lvl w:ilvl="8" w:tplc="A35C6F10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6497497F"/>
    <w:multiLevelType w:val="hybridMultilevel"/>
    <w:tmpl w:val="B19AD676"/>
    <w:lvl w:ilvl="0" w:tplc="19D8D296">
      <w:start w:val="1"/>
      <w:numFmt w:val="decimal"/>
      <w:lvlText w:val="%1)"/>
      <w:lvlJc w:val="left"/>
      <w:pPr>
        <w:ind w:left="1429" w:hanging="360"/>
      </w:pPr>
    </w:lvl>
    <w:lvl w:ilvl="1" w:tplc="4CC0FAC0">
      <w:start w:val="1"/>
      <w:numFmt w:val="lowerLetter"/>
      <w:lvlText w:val="%2."/>
      <w:lvlJc w:val="left"/>
      <w:pPr>
        <w:ind w:left="2149" w:hanging="360"/>
      </w:pPr>
    </w:lvl>
    <w:lvl w:ilvl="2" w:tplc="3CCE06B2">
      <w:start w:val="1"/>
      <w:numFmt w:val="lowerRoman"/>
      <w:lvlText w:val="%3."/>
      <w:lvlJc w:val="right"/>
      <w:pPr>
        <w:ind w:left="2869" w:hanging="180"/>
      </w:pPr>
    </w:lvl>
    <w:lvl w:ilvl="3" w:tplc="3B30F6FE">
      <w:start w:val="1"/>
      <w:numFmt w:val="decimal"/>
      <w:lvlText w:val="%4."/>
      <w:lvlJc w:val="left"/>
      <w:pPr>
        <w:ind w:left="3589" w:hanging="360"/>
      </w:pPr>
    </w:lvl>
    <w:lvl w:ilvl="4" w:tplc="328A51C2">
      <w:start w:val="1"/>
      <w:numFmt w:val="lowerLetter"/>
      <w:lvlText w:val="%5."/>
      <w:lvlJc w:val="left"/>
      <w:pPr>
        <w:ind w:left="4309" w:hanging="360"/>
      </w:pPr>
    </w:lvl>
    <w:lvl w:ilvl="5" w:tplc="04C2C0BA">
      <w:start w:val="1"/>
      <w:numFmt w:val="lowerRoman"/>
      <w:lvlText w:val="%6."/>
      <w:lvlJc w:val="right"/>
      <w:pPr>
        <w:ind w:left="5029" w:hanging="180"/>
      </w:pPr>
    </w:lvl>
    <w:lvl w:ilvl="6" w:tplc="305814F2">
      <w:start w:val="1"/>
      <w:numFmt w:val="decimal"/>
      <w:lvlText w:val="%7."/>
      <w:lvlJc w:val="left"/>
      <w:pPr>
        <w:ind w:left="5749" w:hanging="360"/>
      </w:pPr>
    </w:lvl>
    <w:lvl w:ilvl="7" w:tplc="F870928C">
      <w:start w:val="1"/>
      <w:numFmt w:val="lowerLetter"/>
      <w:lvlText w:val="%8."/>
      <w:lvlJc w:val="left"/>
      <w:pPr>
        <w:ind w:left="6469" w:hanging="360"/>
      </w:pPr>
    </w:lvl>
    <w:lvl w:ilvl="8" w:tplc="8E42062C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5855B50"/>
    <w:multiLevelType w:val="hybridMultilevel"/>
    <w:tmpl w:val="91367280"/>
    <w:lvl w:ilvl="0" w:tplc="36E42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280177E">
      <w:start w:val="1"/>
      <w:numFmt w:val="lowerLetter"/>
      <w:lvlText w:val="%2."/>
      <w:lvlJc w:val="left"/>
      <w:pPr>
        <w:ind w:left="1789" w:hanging="360"/>
      </w:pPr>
    </w:lvl>
    <w:lvl w:ilvl="2" w:tplc="BAFCE80A">
      <w:start w:val="1"/>
      <w:numFmt w:val="lowerRoman"/>
      <w:lvlText w:val="%3."/>
      <w:lvlJc w:val="right"/>
      <w:pPr>
        <w:ind w:left="2509" w:hanging="180"/>
      </w:pPr>
    </w:lvl>
    <w:lvl w:ilvl="3" w:tplc="485A1938">
      <w:start w:val="1"/>
      <w:numFmt w:val="decimal"/>
      <w:lvlText w:val="%4."/>
      <w:lvlJc w:val="left"/>
      <w:pPr>
        <w:ind w:left="3229" w:hanging="360"/>
      </w:pPr>
    </w:lvl>
    <w:lvl w:ilvl="4" w:tplc="CA84C3E0">
      <w:start w:val="1"/>
      <w:numFmt w:val="lowerLetter"/>
      <w:lvlText w:val="%5."/>
      <w:lvlJc w:val="left"/>
      <w:pPr>
        <w:ind w:left="3949" w:hanging="360"/>
      </w:pPr>
    </w:lvl>
    <w:lvl w:ilvl="5" w:tplc="0B4CDBA8">
      <w:start w:val="1"/>
      <w:numFmt w:val="lowerRoman"/>
      <w:lvlText w:val="%6."/>
      <w:lvlJc w:val="right"/>
      <w:pPr>
        <w:ind w:left="4669" w:hanging="180"/>
      </w:pPr>
    </w:lvl>
    <w:lvl w:ilvl="6" w:tplc="45FC649C">
      <w:start w:val="1"/>
      <w:numFmt w:val="decimal"/>
      <w:lvlText w:val="%7."/>
      <w:lvlJc w:val="left"/>
      <w:pPr>
        <w:ind w:left="5389" w:hanging="360"/>
      </w:pPr>
    </w:lvl>
    <w:lvl w:ilvl="7" w:tplc="1956664A">
      <w:start w:val="1"/>
      <w:numFmt w:val="lowerLetter"/>
      <w:lvlText w:val="%8."/>
      <w:lvlJc w:val="left"/>
      <w:pPr>
        <w:ind w:left="6109" w:hanging="360"/>
      </w:pPr>
    </w:lvl>
    <w:lvl w:ilvl="8" w:tplc="AB52D4D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2D66B5"/>
    <w:multiLevelType w:val="hybridMultilevel"/>
    <w:tmpl w:val="DFE2A3A2"/>
    <w:lvl w:ilvl="0" w:tplc="23B41CD2">
      <w:start w:val="1"/>
      <w:numFmt w:val="decimal"/>
      <w:lvlText w:val="%1)"/>
      <w:lvlJc w:val="left"/>
      <w:pPr>
        <w:ind w:left="10142" w:hanging="360"/>
      </w:pPr>
    </w:lvl>
    <w:lvl w:ilvl="1" w:tplc="EDD83230">
      <w:start w:val="1"/>
      <w:numFmt w:val="lowerLetter"/>
      <w:lvlText w:val="%2."/>
      <w:lvlJc w:val="left"/>
      <w:pPr>
        <w:ind w:left="8529" w:hanging="360"/>
      </w:pPr>
    </w:lvl>
    <w:lvl w:ilvl="2" w:tplc="E9D8BE58">
      <w:start w:val="1"/>
      <w:numFmt w:val="lowerRoman"/>
      <w:lvlText w:val="%3."/>
      <w:lvlJc w:val="right"/>
      <w:pPr>
        <w:ind w:left="9249" w:hanging="180"/>
      </w:pPr>
    </w:lvl>
    <w:lvl w:ilvl="3" w:tplc="EE8E4160">
      <w:start w:val="1"/>
      <w:numFmt w:val="decimal"/>
      <w:lvlText w:val="%4."/>
      <w:lvlJc w:val="left"/>
      <w:pPr>
        <w:ind w:left="9969" w:hanging="360"/>
      </w:pPr>
    </w:lvl>
    <w:lvl w:ilvl="4" w:tplc="72B05286">
      <w:start w:val="1"/>
      <w:numFmt w:val="lowerLetter"/>
      <w:lvlText w:val="%5."/>
      <w:lvlJc w:val="left"/>
      <w:pPr>
        <w:ind w:left="10689" w:hanging="360"/>
      </w:pPr>
    </w:lvl>
    <w:lvl w:ilvl="5" w:tplc="6526021C">
      <w:start w:val="1"/>
      <w:numFmt w:val="lowerRoman"/>
      <w:lvlText w:val="%6."/>
      <w:lvlJc w:val="right"/>
      <w:pPr>
        <w:ind w:left="11409" w:hanging="180"/>
      </w:pPr>
    </w:lvl>
    <w:lvl w:ilvl="6" w:tplc="56A098F8">
      <w:start w:val="1"/>
      <w:numFmt w:val="decimal"/>
      <w:lvlText w:val="%7."/>
      <w:lvlJc w:val="left"/>
      <w:pPr>
        <w:ind w:left="12129" w:hanging="360"/>
      </w:pPr>
    </w:lvl>
    <w:lvl w:ilvl="7" w:tplc="F8989742">
      <w:start w:val="1"/>
      <w:numFmt w:val="lowerLetter"/>
      <w:lvlText w:val="%8."/>
      <w:lvlJc w:val="left"/>
      <w:pPr>
        <w:ind w:left="12849" w:hanging="360"/>
      </w:pPr>
    </w:lvl>
    <w:lvl w:ilvl="8" w:tplc="50D8FE46">
      <w:start w:val="1"/>
      <w:numFmt w:val="lowerRoman"/>
      <w:lvlText w:val="%9."/>
      <w:lvlJc w:val="right"/>
      <w:pPr>
        <w:ind w:left="13569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985"/>
    <w:rsid w:val="00017101"/>
    <w:rsid w:val="000A4487"/>
    <w:rsid w:val="00104722"/>
    <w:rsid w:val="001479CF"/>
    <w:rsid w:val="001D0906"/>
    <w:rsid w:val="001F1C4E"/>
    <w:rsid w:val="00245078"/>
    <w:rsid w:val="002A6265"/>
    <w:rsid w:val="002B5878"/>
    <w:rsid w:val="002F14EB"/>
    <w:rsid w:val="00300F9A"/>
    <w:rsid w:val="00362985"/>
    <w:rsid w:val="003F1E9B"/>
    <w:rsid w:val="004B0215"/>
    <w:rsid w:val="00544EF5"/>
    <w:rsid w:val="0057450C"/>
    <w:rsid w:val="0064581B"/>
    <w:rsid w:val="00653453"/>
    <w:rsid w:val="006656B2"/>
    <w:rsid w:val="006971AA"/>
    <w:rsid w:val="006E0F60"/>
    <w:rsid w:val="008B1711"/>
    <w:rsid w:val="008C7439"/>
    <w:rsid w:val="00A62366"/>
    <w:rsid w:val="00A665C9"/>
    <w:rsid w:val="00B45157"/>
    <w:rsid w:val="00C00CCB"/>
    <w:rsid w:val="00C05E19"/>
    <w:rsid w:val="00C12F91"/>
    <w:rsid w:val="00C76D74"/>
    <w:rsid w:val="00D04437"/>
    <w:rsid w:val="00D34465"/>
    <w:rsid w:val="00E02564"/>
    <w:rsid w:val="00EE5B4C"/>
    <w:rsid w:val="00E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D7D3"/>
  <w15:docId w15:val="{27D72D3C-EAFD-4BEF-BF49-C4DB6ED4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font26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link w:val="af6"/>
    <w:pPr>
      <w:ind w:left="270"/>
    </w:pPr>
    <w:rPr>
      <w:rFonts w:ascii="Times New Roman" w:eastAsia="Times New Roman" w:hAnsi="Times New Roman"/>
      <w:i/>
      <w:sz w:val="20"/>
      <w:szCs w:val="20"/>
    </w:r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font262"/>
      <w:i/>
      <w:sz w:val="20"/>
      <w:szCs w:val="20"/>
      <w:lang w:val="en-US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eastAsia="Calibri" w:hAnsi="Calibri" w:cs="font262"/>
      <w:lang w:val="en-US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160"/>
    </w:pPr>
    <w:rPr>
      <w:rFonts w:cs="Times New Roman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Calibri" w:eastAsia="Calibri" w:hAnsi="Calibri" w:cs="font262"/>
      <w:lang w:val="en-US"/>
    </w:r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paragraph" w:styleId="aff2">
    <w:name w:val="annotation subject"/>
    <w:basedOn w:val="afa"/>
    <w:next w:val="afa"/>
    <w:link w:val="aff3"/>
    <w:uiPriority w:val="99"/>
    <w:semiHidden/>
    <w:unhideWhenUsed/>
    <w:pPr>
      <w:spacing w:after="0"/>
    </w:pPr>
    <w:rPr>
      <w:rFonts w:cs="font262"/>
      <w:b/>
      <w:bCs/>
      <w:lang w:val="en-US"/>
    </w:rPr>
  </w:style>
  <w:style w:type="character" w:customStyle="1" w:styleId="aff3">
    <w:name w:val="Тема примечания Знак"/>
    <w:basedOn w:val="afb"/>
    <w:link w:val="aff2"/>
    <w:uiPriority w:val="99"/>
    <w:semiHidden/>
    <w:rPr>
      <w:rFonts w:ascii="Calibri" w:eastAsia="Calibri" w:hAnsi="Calibri" w:cs="font262"/>
      <w:b/>
      <w:bCs/>
      <w:sz w:val="20"/>
      <w:szCs w:val="20"/>
      <w:lang w:val="en-US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Абзац списка Знак"/>
    <w:basedOn w:val="a0"/>
    <w:link w:val="aff0"/>
    <w:rPr>
      <w:rFonts w:ascii="Calibri" w:eastAsia="Calibri" w:hAnsi="Calibri" w:cs="font262"/>
      <w:lang w:val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ascii="Calibri" w:eastAsia="Calibri" w:hAnsi="Calibri" w:cs="font262"/>
      <w:lang w:val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7">
    <w:name w:val="адрес"/>
    <w:basedOn w:val="a"/>
    <w:rsid w:val="001D0906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eastAsia="Times New Roman" w:hAnsi="TimesDL" w:cs="Times New Roman"/>
      <w:sz w:val="26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432A8-2901-4FFF-9A20-D8DBD1AE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</dc:creator>
  <cp:lastModifiedBy>Князев В.Р.</cp:lastModifiedBy>
  <cp:revision>8</cp:revision>
  <dcterms:created xsi:type="dcterms:W3CDTF">2026-02-03T10:49:00Z</dcterms:created>
  <dcterms:modified xsi:type="dcterms:W3CDTF">2026-02-03T12:31:00Z</dcterms:modified>
</cp:coreProperties>
</file>