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ПОЯСНИТЕЛЬНАЯ ЗАПИСКА</w:t>
      </w:r>
      <w:r>
        <w:rPr>
          <w:rFonts w:eastAsia="Calibri"/>
          <w:b/>
          <w:szCs w:val="28"/>
        </w:rPr>
      </w:r>
      <w:r>
        <w:rPr>
          <w:rFonts w:eastAsia="Calibri"/>
          <w:b/>
          <w:szCs w:val="28"/>
        </w:rPr>
      </w:r>
    </w:p>
    <w:p>
      <w:pPr>
        <w:jc w:val="center"/>
        <w:spacing w:line="240" w:lineRule="auto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 xml:space="preserve">к проекту </w:t>
      </w:r>
      <w:r>
        <w:rPr>
          <w:b/>
          <w:szCs w:val="28"/>
        </w:rPr>
        <w:t xml:space="preserve">федерального </w:t>
      </w:r>
      <w:r>
        <w:rPr>
          <w:rFonts w:eastAsia="Calibri"/>
          <w:b/>
          <w:szCs w:val="28"/>
        </w:rPr>
        <w:t xml:space="preserve">закона </w:t>
      </w:r>
      <w:r>
        <w:rPr>
          <w:szCs w:val="28"/>
        </w:rPr>
        <w:t xml:space="preserve">«</w:t>
      </w:r>
      <w:r>
        <w:rPr>
          <w:b/>
          <w:bCs/>
          <w:szCs w:val="28"/>
          <w:lang w:eastAsia="ar-SA"/>
        </w:rPr>
        <w:t xml:space="preserve">О внесении изменений </w:t>
      </w:r>
      <w:r>
        <w:rPr>
          <w:rFonts w:eastAsia="Calibri"/>
          <w:b/>
          <w:szCs w:val="28"/>
        </w:rPr>
      </w:r>
      <w:r>
        <w:rPr>
          <w:rFonts w:eastAsia="Calibri"/>
          <w:b/>
          <w:szCs w:val="28"/>
        </w:rPr>
      </w:r>
    </w:p>
    <w:p>
      <w:pPr>
        <w:jc w:val="center"/>
        <w:spacing w:line="240" w:lineRule="auto"/>
        <w:rPr>
          <w:b/>
          <w:bCs/>
          <w:szCs w:val="28"/>
          <w:lang w:eastAsia="ar-SA"/>
        </w:rPr>
      </w:pPr>
      <w:r>
        <w:rPr>
          <w:b/>
          <w:bCs/>
          <w:szCs w:val="28"/>
          <w:lang w:eastAsia="ar-SA"/>
        </w:rPr>
        <w:t xml:space="preserve">в Федеральный закон «</w:t>
      </w:r>
      <w:r>
        <w:rPr>
          <w:b/>
          <w:szCs w:val="28"/>
        </w:rPr>
        <w:t xml:space="preserve">О </w:t>
      </w:r>
      <w:r>
        <w:rPr>
          <w:b/>
          <w:szCs w:val="28"/>
        </w:rPr>
        <w:t xml:space="preserve">соглашениях</w:t>
      </w:r>
      <w:r>
        <w:rPr>
          <w:b/>
          <w:szCs w:val="28"/>
        </w:rPr>
        <w:t xml:space="preserve"> о разделе продукции</w:t>
      </w:r>
      <w:r>
        <w:rPr>
          <w:b/>
          <w:bCs/>
          <w:szCs w:val="28"/>
          <w:lang w:eastAsia="ar-SA"/>
        </w:rPr>
        <w:t xml:space="preserve">»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jc w:val="center"/>
        <w:spacing w:line="240" w:lineRule="auto"/>
        <w:rPr>
          <w:rFonts w:eastAsiaTheme="minorHAnsi"/>
          <w:b/>
          <w:szCs w:val="28"/>
          <w:lang w:eastAsia="en-US"/>
        </w:rPr>
      </w:pPr>
      <w:r>
        <w:rPr>
          <w:b/>
          <w:bCs/>
          <w:szCs w:val="28"/>
          <w:lang w:eastAsia="ar-SA"/>
        </w:rPr>
        <w:t xml:space="preserve">и статьи 9 и 17.1 </w:t>
      </w:r>
      <w:r>
        <w:rPr>
          <w:rFonts w:eastAsiaTheme="minorHAnsi"/>
          <w:b/>
          <w:szCs w:val="28"/>
          <w:lang w:eastAsia="en-US"/>
        </w:rPr>
        <w:t xml:space="preserve">Закона Российской Федерации «О недрах»</w:t>
      </w:r>
      <w:r>
        <w:rPr>
          <w:rFonts w:eastAsiaTheme="minorHAnsi"/>
          <w:b/>
          <w:szCs w:val="28"/>
          <w:lang w:eastAsia="en-US"/>
        </w:rPr>
      </w:r>
      <w:r>
        <w:rPr>
          <w:rFonts w:eastAsiaTheme="minorHAnsi"/>
          <w:b/>
          <w:szCs w:val="28"/>
          <w:lang w:eastAsia="en-US"/>
        </w:rPr>
      </w:r>
    </w:p>
    <w:p>
      <w:pPr>
        <w:jc w:val="center"/>
        <w:spacing w:line="360" w:lineRule="auto"/>
        <w:rPr>
          <w:b/>
          <w:bCs/>
          <w:szCs w:val="28"/>
          <w:lang w:eastAsia="ar-SA"/>
        </w:rPr>
      </w:pP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ind w:firstLine="708"/>
        <w:spacing w:line="360" w:lineRule="auto"/>
        <w:rPr>
          <w:b/>
          <w:bCs/>
          <w:szCs w:val="28"/>
          <w:lang w:eastAsia="ar-SA"/>
        </w:rPr>
      </w:pPr>
      <w:r>
        <w:rPr>
          <w:szCs w:val="28"/>
        </w:rPr>
        <w:t xml:space="preserve">Проект федерального закона </w:t>
      </w:r>
      <w:r>
        <w:rPr>
          <w:bCs/>
          <w:szCs w:val="28"/>
        </w:rPr>
        <w:t xml:space="preserve">«</w:t>
      </w:r>
      <w:r>
        <w:rPr>
          <w:bCs/>
          <w:szCs w:val="28"/>
          <w:lang w:eastAsia="ar-SA"/>
        </w:rPr>
        <w:t xml:space="preserve">О внесении изменений в Федеральный закон «</w:t>
      </w:r>
      <w:r>
        <w:rPr>
          <w:szCs w:val="28"/>
        </w:rPr>
        <w:t xml:space="preserve">О </w:t>
      </w:r>
      <w:r>
        <w:rPr>
          <w:szCs w:val="28"/>
        </w:rPr>
        <w:t xml:space="preserve">соглашениях</w:t>
      </w:r>
      <w:r>
        <w:rPr>
          <w:szCs w:val="28"/>
        </w:rPr>
        <w:t xml:space="preserve"> о разделе продукции</w:t>
      </w:r>
      <w:r>
        <w:rPr>
          <w:bCs/>
          <w:szCs w:val="28"/>
        </w:rPr>
        <w:t xml:space="preserve">» </w:t>
      </w:r>
      <w:r>
        <w:rPr>
          <w:bCs/>
          <w:szCs w:val="28"/>
          <w:lang w:eastAsia="ar-SA"/>
        </w:rPr>
        <w:t xml:space="preserve">и статьи 9 и 17.1 </w:t>
      </w:r>
      <w:r>
        <w:rPr>
          <w:rFonts w:eastAsiaTheme="minorHAnsi"/>
          <w:szCs w:val="28"/>
          <w:lang w:eastAsia="en-US"/>
        </w:rPr>
        <w:t xml:space="preserve">Закона Российской Федерации «О недрах»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szCs w:val="28"/>
        </w:rPr>
        <w:t xml:space="preserve">подготовлен в целях приведения </w:t>
      </w:r>
      <w:r>
        <w:rPr>
          <w:szCs w:val="28"/>
        </w:rPr>
        <w:t xml:space="preserve">отдельных положений </w:t>
      </w:r>
      <w:r>
        <w:rPr>
          <w:szCs w:val="28"/>
        </w:rPr>
        <w:t xml:space="preserve">Федерального закона от 30 декабря 1995 года                        № 225-ФЗ</w:t>
      </w:r>
      <w:r>
        <w:t xml:space="preserve"> </w:t>
      </w:r>
      <w:r>
        <w:rPr>
          <w:szCs w:val="28"/>
        </w:rPr>
        <w:t xml:space="preserve">«О соглашениях о разделе продукции» (далее - Ф</w:t>
      </w:r>
      <w:r>
        <w:rPr>
          <w:szCs w:val="28"/>
        </w:rPr>
        <w:t xml:space="preserve">едеральный закон </w:t>
      </w:r>
      <w:r>
        <w:rPr>
          <w:szCs w:val="28"/>
        </w:rPr>
        <w:t xml:space="preserve">№ 225-ФЗ)</w:t>
      </w:r>
      <w:r>
        <w:rPr>
          <w:szCs w:val="28"/>
        </w:rPr>
        <w:t xml:space="preserve">, а также формулировок, используемых в </w:t>
      </w:r>
      <w:r>
        <w:rPr>
          <w:rFonts w:eastAsiaTheme="minorHAnsi"/>
          <w:szCs w:val="28"/>
          <w:lang w:eastAsia="en-US"/>
        </w:rPr>
        <w:t xml:space="preserve">Закон</w:t>
      </w:r>
      <w:r>
        <w:rPr>
          <w:rFonts w:eastAsiaTheme="minorHAnsi"/>
          <w:szCs w:val="28"/>
          <w:lang w:eastAsia="en-US"/>
        </w:rPr>
        <w:t xml:space="preserve">е</w:t>
      </w:r>
      <w:r>
        <w:rPr>
          <w:rFonts w:eastAsiaTheme="minorHAnsi"/>
          <w:szCs w:val="28"/>
          <w:lang w:eastAsia="en-US"/>
        </w:rPr>
        <w:t xml:space="preserve"> Российской Федерации от 21 февраля 1992 года № 2395-I «О недрах»</w:t>
      </w:r>
      <w:r>
        <w:rPr>
          <w:rFonts w:eastAsiaTheme="minorHAnsi"/>
          <w:szCs w:val="28"/>
          <w:lang w:eastAsia="en-US"/>
        </w:rPr>
        <w:t xml:space="preserve"> (далее - </w:t>
      </w:r>
      <w:r>
        <w:rPr>
          <w:szCs w:val="28"/>
        </w:rPr>
        <w:t xml:space="preserve">Закон Российской Федерации «О недрах»</w:t>
      </w:r>
      <w:r>
        <w:rPr>
          <w:rFonts w:eastAsiaTheme="minorHAnsi"/>
          <w:szCs w:val="28"/>
          <w:lang w:eastAsia="en-US"/>
        </w:rPr>
        <w:t xml:space="preserve">)</w:t>
      </w:r>
      <w:r>
        <w:rPr>
          <w:rFonts w:eastAsiaTheme="minorHAnsi"/>
          <w:szCs w:val="28"/>
          <w:lang w:eastAsia="en-US"/>
        </w:rPr>
        <w:t xml:space="preserve">, </w:t>
      </w:r>
      <w:r>
        <w:rPr>
          <w:szCs w:val="28"/>
        </w:rPr>
        <w:t xml:space="preserve">в соответствие с федеральным законодательством</w:t>
      </w:r>
      <w:r>
        <w:rPr>
          <w:szCs w:val="28"/>
        </w:rPr>
        <w:t xml:space="preserve">.</w:t>
      </w:r>
      <w:r>
        <w:rPr>
          <w:szCs w:val="28"/>
        </w:rPr>
        <w:t xml:space="preserve"> </w:t>
      </w:r>
      <w:r>
        <w:rPr>
          <w:b/>
          <w:bCs/>
          <w:szCs w:val="28"/>
          <w:lang w:eastAsia="ar-SA"/>
        </w:rPr>
      </w:r>
      <w:r>
        <w:rPr>
          <w:b/>
          <w:bCs/>
          <w:szCs w:val="28"/>
          <w:lang w:eastAsia="ar-SA"/>
        </w:rPr>
      </w:r>
    </w:p>
    <w:p>
      <w:pPr>
        <w:ind w:firstLine="708"/>
        <w:spacing w:line="360" w:lineRule="auto"/>
        <w:rPr>
          <w:szCs w:val="28"/>
        </w:rPr>
      </w:pPr>
      <w:r>
        <w:rPr>
          <w:szCs w:val="28"/>
        </w:rPr>
        <w:t xml:space="preserve">Предлагаемые законопроектом изменения </w:t>
      </w:r>
      <w:r>
        <w:rPr>
          <w:szCs w:val="28"/>
        </w:rPr>
        <w:t xml:space="preserve">в пункт</w:t>
      </w:r>
      <w:r>
        <w:rPr>
          <w:szCs w:val="28"/>
        </w:rPr>
        <w:t xml:space="preserve"> 3 статьи 2</w:t>
      </w:r>
      <w:r>
        <w:rPr>
          <w:szCs w:val="28"/>
        </w:rPr>
        <w:t xml:space="preserve">,                          в пункт 3 статьи 6, статью 20</w:t>
      </w:r>
      <w:r>
        <w:rPr>
          <w:szCs w:val="28"/>
        </w:rPr>
        <w:t xml:space="preserve"> Федерального закона № 225-</w:t>
      </w:r>
      <w:r>
        <w:rPr>
          <w:szCs w:val="28"/>
        </w:rPr>
        <w:t xml:space="preserve">ФЗ </w:t>
      </w:r>
      <w:r>
        <w:rPr>
          <w:szCs w:val="28"/>
        </w:rPr>
        <w:t xml:space="preserve">обусловлены необходимостью приведения </w:t>
      </w:r>
      <w:r>
        <w:rPr>
          <w:szCs w:val="28"/>
        </w:rPr>
        <w:t xml:space="preserve">наименований законодательных                                     и исполнительных органов субъектов Российской Федерации                                    в</w:t>
      </w:r>
      <w:r>
        <w:rPr>
          <w:szCs w:val="28"/>
        </w:rPr>
        <w:t xml:space="preserve"> </w:t>
      </w:r>
      <w:r>
        <w:rPr>
          <w:szCs w:val="28"/>
        </w:rPr>
        <w:t xml:space="preserve">соответствие </w:t>
      </w:r>
      <w:r>
        <w:rPr>
          <w:szCs w:val="28"/>
        </w:rPr>
        <w:t xml:space="preserve">с терминологией Федерального закона</w:t>
      </w:r>
      <w:r>
        <w:rPr>
          <w:szCs w:val="28"/>
        </w:rPr>
        <w:t xml:space="preserve"> от </w:t>
      </w:r>
      <w:r>
        <w:rPr>
          <w:szCs w:val="28"/>
        </w:rPr>
        <w:t xml:space="preserve">21 декабря                     2021 года № 414-ФЗ «Об общих принципах организации публичной власти                     в субъектах Российской Федерации».    </w:t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Кроме того, представленным проектом федерального закона предлагается внести изменение в статью 3 Федерального закона № 225-ФЗ     в части </w:t>
      </w:r>
      <w:r>
        <w:rPr>
          <w:szCs w:val="28"/>
        </w:rPr>
        <w:t xml:space="preserve">уточнения правового положения инвесторов как стороны                      в соглашении о разделе продукции, </w:t>
      </w:r>
      <w:r>
        <w:rPr>
          <w:szCs w:val="28"/>
        </w:rPr>
        <w:t xml:space="preserve">в том числе</w:t>
      </w:r>
      <w:r>
        <w:rPr>
          <w:szCs w:val="28"/>
        </w:rPr>
        <w:t xml:space="preserve"> приведения данного положения нормам, предусмотренным пунктом 1 статьи 1041 Гражданского кодекса Российской Федерации в части наименования договора </w:t>
      </w:r>
      <w:r>
        <w:rPr>
          <w:rFonts w:eastAsiaTheme="minorHAnsi"/>
          <w:szCs w:val="28"/>
          <w:lang w:eastAsia="en-US"/>
        </w:rPr>
        <w:t xml:space="preserve">простого товарищества (договора о совместной деятельности</w:t>
      </w:r>
      <w:r>
        <w:t xml:space="preserve">)</w:t>
      </w:r>
      <w:r>
        <w:rPr>
          <w:szCs w:val="28"/>
        </w:rPr>
        <w:t xml:space="preserve">.</w:t>
      </w:r>
      <w:r>
        <w:rPr>
          <w:szCs w:val="28"/>
        </w:rPr>
        <w:t xml:space="preserve"> Аналогичные уточнения предлагается внести в статьи 9 и 17.1</w:t>
      </w:r>
      <w:r>
        <w:rPr>
          <w:szCs w:val="28"/>
        </w:rPr>
        <w:t xml:space="preserve"> </w:t>
      </w:r>
      <w:r>
        <w:rPr>
          <w:szCs w:val="28"/>
        </w:rPr>
        <w:t xml:space="preserve">Закона Российской Федерации </w:t>
      </w:r>
      <w:r>
        <w:rPr>
          <w:szCs w:val="28"/>
        </w:rPr>
        <w:t xml:space="preserve">«О недрах». </w:t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Пункт 2 статьи 9 Федерального закона № 225-ФЗ относится к нормам </w:t>
      </w:r>
      <w:r>
        <w:rPr>
          <w:szCs w:val="28"/>
        </w:rPr>
        <w:t xml:space="preserve">отсылочного характера и в части определения случаев количественного ограничения экспорта минерального сырья содержит ссылку на Федеральный закон от 13 октября 1995 года № 157-ФЗ «О государст</w:t>
      </w:r>
      <w:r>
        <w:rPr>
          <w:szCs w:val="28"/>
        </w:rPr>
        <w:t xml:space="preserve">венном регулировании внешнеторговой деятельности», который утратил силу. Вместе с тем случаи количественного ограничения экспорта товаров определены статьей 21 Федерального закона от 8 декабря 2003 года № 164-ФЗ «Об основах государственного регулирования в</w:t>
      </w:r>
      <w:r>
        <w:rPr>
          <w:szCs w:val="28"/>
        </w:rPr>
        <w:t xml:space="preserve">нешнеторговой деятельности», в </w:t>
      </w:r>
      <w:r>
        <w:rPr>
          <w:szCs w:val="28"/>
        </w:rPr>
        <w:t xml:space="preserve">связи</w:t>
      </w:r>
      <w:r>
        <w:rPr>
          <w:szCs w:val="28"/>
        </w:rPr>
        <w:t xml:space="preserve">        с чем соответствующие изменения предлагается внести в пункт 2 статьи 9 Федерального закона № 225-ФЗ. </w:t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Федеральным законом от 30 апреля 2021 года № 123-ФЗ «О внесении изменений в Закон Российской Федерации «О недр</w:t>
      </w:r>
      <w:r>
        <w:rPr>
          <w:szCs w:val="28"/>
        </w:rPr>
        <w:t xml:space="preserve">ах», статью 1 Федерального закона «О лицензировании отдельных видов деятельности»      и признании утратившими силу Постановления Верховного Совета Российской Федерации «О порядке введения в действие Положения               о порядке лицензирования пользов</w:t>
      </w:r>
      <w:r>
        <w:rPr>
          <w:szCs w:val="28"/>
        </w:rPr>
        <w:t xml:space="preserve">ания недрами» и отдельных положений законодательных актов Российской Федерации» внесены изменения                           в статью 39 Закона Российской</w:t>
      </w:r>
      <w:r>
        <w:rPr>
          <w:szCs w:val="28"/>
        </w:rPr>
        <w:t xml:space="preserve"> Федерации </w:t>
      </w:r>
      <w:r>
        <w:rPr>
          <w:szCs w:val="28"/>
        </w:rPr>
        <w:t xml:space="preserve">«О недрах» в части наименования платежей при пользовании не</w:t>
      </w:r>
      <w:r>
        <w:rPr>
          <w:szCs w:val="28"/>
        </w:rPr>
        <w:t xml:space="preserve">драми. </w:t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Учитывая, что абзац первый пункта 2 статьи 13 Федерального закона № 225-ФЗ предусматривает аналогичные платежи, законопроектом предлагается внести изменение в указанную норму в части уточнения платежей (в том числе их наименования), уплачиваемых пр</w:t>
      </w:r>
      <w:r>
        <w:rPr>
          <w:szCs w:val="28"/>
        </w:rPr>
        <w:t xml:space="preserve">и выполнении соглашения о разделе продукции инвестором, с учетом положений                   частей первой и пятой статьи 39, части тринадцатой статьи 40</w:t>
      </w:r>
      <w:r>
        <w:rPr>
          <w:szCs w:val="28"/>
        </w:rPr>
        <w:t xml:space="preserve"> Закона Российской Федерации </w:t>
      </w:r>
      <w:r>
        <w:rPr>
          <w:szCs w:val="28"/>
        </w:rPr>
        <w:t xml:space="preserve">«О недрах».</w:t>
      </w:r>
      <w:r>
        <w:rPr>
          <w:szCs w:val="28"/>
        </w:rPr>
        <w:t xml:space="preserve"> Кроме того, предлагаемые изменения направлены н</w:t>
      </w:r>
      <w:r>
        <w:rPr>
          <w:szCs w:val="28"/>
        </w:rPr>
        <w:t xml:space="preserve">а обеспечение соответствия указанной нормы абзацу второму подпункта 92 статьи 333.33 Налогового кодекса Российской Федерации, определяющему уплату государственн</w:t>
      </w:r>
      <w:r>
        <w:rPr>
          <w:szCs w:val="28"/>
        </w:rPr>
        <w:t xml:space="preserve">ой пошлины </w:t>
      </w:r>
      <w:r>
        <w:rPr>
          <w:szCs w:val="28"/>
        </w:rPr>
        <w:t xml:space="preserve">за предоставление лицензии.</w:t>
      </w:r>
      <w:bookmarkStart w:id="0" w:name="_GoBack"/>
      <w:r/>
      <w:bookmarkEnd w:id="0"/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color w:val="000000"/>
          <w:szCs w:val="28"/>
        </w:rPr>
      </w:pPr>
      <w:r>
        <w:rPr>
          <w:color w:val="000000"/>
          <w:szCs w:val="28"/>
        </w:rPr>
        <w:t xml:space="preserve">Также законопроектом предлагается ут</w:t>
      </w:r>
      <w:r>
        <w:rPr>
          <w:color w:val="000000"/>
          <w:szCs w:val="28"/>
        </w:rPr>
        <w:t xml:space="preserve">очнить терминологию, используемую в абзаце третьем пункта 2 статьи 13, абзаце первом пункта 3 статьи 19 </w:t>
      </w:r>
      <w:r>
        <w:rPr>
          <w:szCs w:val="28"/>
        </w:rPr>
        <w:t xml:space="preserve">Федерального закона № 225-ФЗ, с учетом положений бюджетного законодательства.</w:t>
      </w:r>
      <w:r>
        <w:rPr>
          <w:color w:val="000000"/>
          <w:szCs w:val="28"/>
        </w:rPr>
      </w:r>
      <w:r>
        <w:rPr>
          <w:color w:val="000000"/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Проект федерального закона не противоречит актам более высокой юридической</w:t>
      </w:r>
      <w:r>
        <w:rPr>
          <w:szCs w:val="28"/>
        </w:rPr>
        <w:t xml:space="preserve"> силы, в том числе Договору о Евразийском экономическом союзе.</w:t>
      </w:r>
      <w:r>
        <w:rPr>
          <w:szCs w:val="28"/>
        </w:rPr>
      </w:r>
      <w:r>
        <w:rPr>
          <w:szCs w:val="28"/>
        </w:rPr>
      </w:r>
    </w:p>
    <w:p>
      <w:pPr>
        <w:ind w:right="-6" w:firstLine="709"/>
        <w:spacing w:line="360" w:lineRule="auto"/>
        <w:rPr>
          <w:szCs w:val="28"/>
        </w:rPr>
      </w:pPr>
      <w:r>
        <w:rPr>
          <w:szCs w:val="28"/>
        </w:rPr>
        <w:t xml:space="preserve">Законопроект доработан с учетом заключения К</w:t>
      </w:r>
      <w:r>
        <w:rPr>
          <w:szCs w:val="28"/>
        </w:rPr>
        <w:t xml:space="preserve">омитета </w:t>
      </w:r>
      <w:r>
        <w:rPr>
          <w:szCs w:val="28"/>
        </w:rPr>
        <w:t xml:space="preserve">Государственной Думы Федерального Собрания Российской Федерации                  </w:t>
      </w:r>
      <w:r>
        <w:rPr>
          <w:szCs w:val="28"/>
        </w:rPr>
        <w:t xml:space="preserve">по </w:t>
      </w:r>
      <w:r>
        <w:rPr>
          <w:szCs w:val="28"/>
        </w:rPr>
        <w:t xml:space="preserve">экологии, природным ресурсам и охране окружающей среды</w:t>
      </w:r>
      <w:r>
        <w:rPr>
          <w:szCs w:val="28"/>
        </w:rPr>
        <w:t xml:space="preserve"> </w:t>
      </w:r>
      <w:r>
        <w:rPr>
          <w:szCs w:val="28"/>
        </w:rPr>
        <w:t xml:space="preserve">от 10 июня 2026 года № 186.3.</w:t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540"/>
        <w:spacing w:before="280" w:line="24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709"/>
        <w:spacing w:line="360" w:lineRule="auto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spacing w:line="360" w:lineRule="auto"/>
        <w:tabs>
          <w:tab w:val="right" w:pos="9355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851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7"/>
      <w:jc w:val="center"/>
    </w:pPr>
    <w:fldSimple w:instr="PAGE \* MERGEFORMAT">
      <w:r>
        <w:t xml:space="preserve">1</w:t>
      </w:r>
    </w:fldSimple>
    <w:r/>
    <w:r/>
  </w:p>
  <w:p>
    <w:pPr>
      <w:pStyle w:val="85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1">
    <w:name w:val="Title Char"/>
    <w:basedOn w:val="678"/>
    <w:link w:val="701"/>
    <w:uiPriority w:val="10"/>
    <w:rPr>
      <w:sz w:val="48"/>
      <w:szCs w:val="48"/>
    </w:rPr>
  </w:style>
  <w:style w:type="character" w:styleId="672">
    <w:name w:val="Subtitle Char"/>
    <w:basedOn w:val="678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Footnote Text Char"/>
    <w:link w:val="840"/>
    <w:uiPriority w:val="99"/>
    <w:rPr>
      <w:sz w:val="18"/>
    </w:rPr>
  </w:style>
  <w:style w:type="character" w:styleId="676">
    <w:name w:val="Endnote Text Char"/>
    <w:link w:val="843"/>
    <w:uiPriority w:val="99"/>
    <w:rPr>
      <w:sz w:val="20"/>
    </w:rPr>
  </w:style>
  <w:style w:type="paragraph" w:styleId="677" w:default="1">
    <w:name w:val="Normal"/>
    <w:qFormat/>
    <w:pPr>
      <w:jc w:val="both"/>
      <w:spacing w:after="0" w:line="360" w:lineRule="atLeas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paragraph" w:styleId="681" w:customStyle="1">
    <w:name w:val="Heading 1"/>
    <w:basedOn w:val="677"/>
    <w:next w:val="677"/>
    <w:link w:val="682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82" w:customStyle="1">
    <w:name w:val="Heading 1 Char"/>
    <w:basedOn w:val="678"/>
    <w:link w:val="68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83" w:customStyle="1">
    <w:name w:val="Heading 2"/>
    <w:basedOn w:val="677"/>
    <w:next w:val="677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84" w:customStyle="1">
    <w:name w:val="Heading 2 Char"/>
    <w:basedOn w:val="678"/>
    <w:link w:val="683"/>
    <w:uiPriority w:val="9"/>
    <w:rPr>
      <w:rFonts w:ascii="Liberation Sans" w:hAnsi="Liberation Sans" w:eastAsia="Liberation Sans" w:cs="Liberation Sans"/>
      <w:sz w:val="34"/>
    </w:rPr>
  </w:style>
  <w:style w:type="paragraph" w:styleId="685" w:customStyle="1">
    <w:name w:val="Heading 3"/>
    <w:basedOn w:val="677"/>
    <w:next w:val="677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86" w:customStyle="1">
    <w:name w:val="Heading 3 Char"/>
    <w:basedOn w:val="678"/>
    <w:link w:val="685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87" w:customStyle="1">
    <w:name w:val="Heading 4"/>
    <w:basedOn w:val="677"/>
    <w:next w:val="677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8" w:customStyle="1">
    <w:name w:val="Heading 4 Char"/>
    <w:basedOn w:val="678"/>
    <w:link w:val="68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9" w:customStyle="1">
    <w:name w:val="Heading 5"/>
    <w:basedOn w:val="677"/>
    <w:next w:val="677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0" w:customStyle="1">
    <w:name w:val="Heading 5 Char"/>
    <w:basedOn w:val="678"/>
    <w:link w:val="68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1" w:customStyle="1">
    <w:name w:val="Heading 6"/>
    <w:basedOn w:val="677"/>
    <w:next w:val="677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2" w:customStyle="1">
    <w:name w:val="Heading 6 Char"/>
    <w:basedOn w:val="678"/>
    <w:link w:val="69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93" w:customStyle="1">
    <w:name w:val="Heading 7"/>
    <w:basedOn w:val="677"/>
    <w:next w:val="677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4" w:customStyle="1">
    <w:name w:val="Heading 7 Char"/>
    <w:basedOn w:val="678"/>
    <w:link w:val="69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95" w:customStyle="1">
    <w:name w:val="Heading 8"/>
    <w:basedOn w:val="677"/>
    <w:next w:val="677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6" w:customStyle="1">
    <w:name w:val="Heading 8 Char"/>
    <w:basedOn w:val="678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97" w:customStyle="1">
    <w:name w:val="Heading 9"/>
    <w:basedOn w:val="677"/>
    <w:next w:val="677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8" w:customStyle="1">
    <w:name w:val="Heading 9 Char"/>
    <w:basedOn w:val="678"/>
    <w:link w:val="69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9">
    <w:name w:val="List Paragraph"/>
    <w:basedOn w:val="677"/>
    <w:uiPriority w:val="34"/>
    <w:qFormat/>
    <w:pPr>
      <w:contextualSpacing/>
      <w:ind w:left="720"/>
    </w:pPr>
  </w:style>
  <w:style w:type="paragraph" w:styleId="700">
    <w:name w:val="No Spacing"/>
    <w:uiPriority w:val="1"/>
    <w:qFormat/>
    <w:pPr>
      <w:spacing w:after="0" w:line="240" w:lineRule="auto"/>
    </w:pPr>
  </w:style>
  <w:style w:type="paragraph" w:styleId="701">
    <w:name w:val="Title"/>
    <w:basedOn w:val="677"/>
    <w:next w:val="677"/>
    <w:link w:val="70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2" w:customStyle="1">
    <w:name w:val="Название Знак"/>
    <w:basedOn w:val="678"/>
    <w:link w:val="701"/>
    <w:uiPriority w:val="10"/>
    <w:rPr>
      <w:sz w:val="48"/>
      <w:szCs w:val="48"/>
    </w:rPr>
  </w:style>
  <w:style w:type="paragraph" w:styleId="703">
    <w:name w:val="Subtitle"/>
    <w:basedOn w:val="677"/>
    <w:next w:val="677"/>
    <w:link w:val="704"/>
    <w:uiPriority w:val="11"/>
    <w:qFormat/>
    <w:pPr>
      <w:spacing w:before="200" w:after="200"/>
    </w:pPr>
    <w:rPr>
      <w:sz w:val="24"/>
      <w:szCs w:val="24"/>
    </w:rPr>
  </w:style>
  <w:style w:type="character" w:styleId="704" w:customStyle="1">
    <w:name w:val="Подзаголовок Знак"/>
    <w:basedOn w:val="678"/>
    <w:link w:val="703"/>
    <w:uiPriority w:val="11"/>
    <w:rPr>
      <w:sz w:val="24"/>
      <w:szCs w:val="24"/>
    </w:rPr>
  </w:style>
  <w:style w:type="paragraph" w:styleId="705">
    <w:name w:val="Quote"/>
    <w:basedOn w:val="677"/>
    <w:next w:val="677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7"/>
    <w:next w:val="677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character" w:styleId="709" w:customStyle="1">
    <w:name w:val="Header Char"/>
    <w:basedOn w:val="678"/>
    <w:link w:val="857"/>
    <w:uiPriority w:val="99"/>
  </w:style>
  <w:style w:type="character" w:styleId="710" w:customStyle="1">
    <w:name w:val="Footer Char"/>
    <w:basedOn w:val="678"/>
    <w:link w:val="859"/>
    <w:uiPriority w:val="99"/>
  </w:style>
  <w:style w:type="paragraph" w:styleId="711" w:customStyle="1">
    <w:name w:val="Caption"/>
    <w:basedOn w:val="677"/>
    <w:next w:val="677"/>
    <w:link w:val="7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2" w:customStyle="1">
    <w:name w:val="Caption Char"/>
    <w:basedOn w:val="678"/>
    <w:link w:val="711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 w:customStyle="1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6" w:customStyle="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17" w:customStyle="1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 w:customStyle="1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 w:customStyle="1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3" w:customStyle="1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4" w:customStyle="1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5" w:customStyle="1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6" w:customStyle="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7" w:customStyle="1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8" w:customStyle="1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7" w:customStyle="1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8" w:customStyle="1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9" w:customStyle="1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0" w:customStyle="1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1" w:customStyle="1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2" w:customStyle="1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 w:customStyle="1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8" w:customStyle="1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9" w:customStyle="1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3" w:customStyle="1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8" w:customStyle="1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99" w:customStyle="1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0" w:customStyle="1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1" w:customStyle="1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2" w:customStyle="1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3" w:customStyle="1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4" w:customStyle="1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5" w:customStyle="1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6" w:customStyle="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7" w:customStyle="1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8" w:customStyle="1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9" w:customStyle="1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0" w:customStyle="1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1" w:customStyle="1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7" w:customStyle="1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8" w:customStyle="1">
    <w:name w:val="Lined - Accent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9" w:customStyle="1">
    <w:name w:val="Lined - Accent 1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0" w:customStyle="1">
    <w:name w:val="Lined - Accent 2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1" w:customStyle="1">
    <w:name w:val="Lined - Accent 3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2" w:customStyle="1">
    <w:name w:val="Lined - Accent 4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3" w:customStyle="1">
    <w:name w:val="Lined - Accent 5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4" w:customStyle="1">
    <w:name w:val="Lined - Accent 6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5" w:customStyle="1">
    <w:name w:val="Bordered &amp; Lined - Accent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6" w:customStyle="1">
    <w:name w:val="Bordered &amp; Lined - Accent 1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7" w:customStyle="1">
    <w:name w:val="Bordered &amp; Lined - Accent 2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8" w:customStyle="1">
    <w:name w:val="Bordered &amp; Lined - Accent 3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9" w:customStyle="1">
    <w:name w:val="Bordered &amp; Lined - Accent 4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0" w:customStyle="1">
    <w:name w:val="Bordered &amp; Lined - Accent 5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1" w:customStyle="1">
    <w:name w:val="Bordered &amp; Lined - Accent 6"/>
    <w:basedOn w:val="67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2" w:customStyle="1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3" w:customStyle="1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4" w:customStyle="1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5" w:customStyle="1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6" w:customStyle="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7" w:customStyle="1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8" w:customStyle="1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39">
    <w:name w:val="Hyperlink"/>
    <w:uiPriority w:val="99"/>
    <w:unhideWhenUsed/>
    <w:rPr>
      <w:color w:val="0000ff" w:themeColor="hyperlink"/>
      <w:u w:val="single"/>
    </w:rPr>
  </w:style>
  <w:style w:type="paragraph" w:styleId="840">
    <w:name w:val="footnote text"/>
    <w:basedOn w:val="67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basedOn w:val="678"/>
    <w:uiPriority w:val="99"/>
    <w:unhideWhenUsed/>
    <w:rPr>
      <w:vertAlign w:val="superscript"/>
    </w:rPr>
  </w:style>
  <w:style w:type="paragraph" w:styleId="843">
    <w:name w:val="endnote text"/>
    <w:basedOn w:val="677"/>
    <w:link w:val="844"/>
    <w:uiPriority w:val="99"/>
    <w:semiHidden/>
    <w:unhideWhenUsed/>
    <w:pPr>
      <w:spacing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basedOn w:val="678"/>
    <w:uiPriority w:val="99"/>
    <w:semiHidden/>
    <w:unhideWhenUsed/>
    <w:rPr>
      <w:vertAlign w:val="superscript"/>
    </w:rPr>
  </w:style>
  <w:style w:type="paragraph" w:styleId="846">
    <w:name w:val="toc 1"/>
    <w:basedOn w:val="677"/>
    <w:next w:val="677"/>
    <w:uiPriority w:val="39"/>
    <w:unhideWhenUsed/>
    <w:pPr>
      <w:spacing w:after="57"/>
    </w:pPr>
  </w:style>
  <w:style w:type="paragraph" w:styleId="847">
    <w:name w:val="toc 2"/>
    <w:basedOn w:val="677"/>
    <w:next w:val="677"/>
    <w:uiPriority w:val="39"/>
    <w:unhideWhenUsed/>
    <w:pPr>
      <w:ind w:left="283"/>
      <w:spacing w:after="57"/>
    </w:pPr>
  </w:style>
  <w:style w:type="paragraph" w:styleId="848">
    <w:name w:val="toc 3"/>
    <w:basedOn w:val="677"/>
    <w:next w:val="677"/>
    <w:uiPriority w:val="39"/>
    <w:unhideWhenUsed/>
    <w:pPr>
      <w:ind w:left="567"/>
      <w:spacing w:after="57"/>
    </w:pPr>
  </w:style>
  <w:style w:type="paragraph" w:styleId="849">
    <w:name w:val="toc 4"/>
    <w:basedOn w:val="677"/>
    <w:next w:val="677"/>
    <w:uiPriority w:val="39"/>
    <w:unhideWhenUsed/>
    <w:pPr>
      <w:ind w:left="850"/>
      <w:spacing w:after="57"/>
    </w:pPr>
  </w:style>
  <w:style w:type="paragraph" w:styleId="850">
    <w:name w:val="toc 5"/>
    <w:basedOn w:val="677"/>
    <w:next w:val="677"/>
    <w:uiPriority w:val="39"/>
    <w:unhideWhenUsed/>
    <w:pPr>
      <w:ind w:left="1134"/>
      <w:spacing w:after="57"/>
    </w:pPr>
  </w:style>
  <w:style w:type="paragraph" w:styleId="851">
    <w:name w:val="toc 6"/>
    <w:basedOn w:val="677"/>
    <w:next w:val="677"/>
    <w:uiPriority w:val="39"/>
    <w:unhideWhenUsed/>
    <w:pPr>
      <w:ind w:left="1417"/>
      <w:spacing w:after="57"/>
    </w:pPr>
  </w:style>
  <w:style w:type="paragraph" w:styleId="852">
    <w:name w:val="toc 7"/>
    <w:basedOn w:val="677"/>
    <w:next w:val="677"/>
    <w:uiPriority w:val="39"/>
    <w:unhideWhenUsed/>
    <w:pPr>
      <w:ind w:left="1701"/>
      <w:spacing w:after="57"/>
    </w:pPr>
  </w:style>
  <w:style w:type="paragraph" w:styleId="853">
    <w:name w:val="toc 8"/>
    <w:basedOn w:val="677"/>
    <w:next w:val="677"/>
    <w:uiPriority w:val="39"/>
    <w:unhideWhenUsed/>
    <w:pPr>
      <w:ind w:left="1984"/>
      <w:spacing w:after="57"/>
    </w:pPr>
  </w:style>
  <w:style w:type="paragraph" w:styleId="854">
    <w:name w:val="toc 9"/>
    <w:basedOn w:val="677"/>
    <w:next w:val="677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</w:style>
  <w:style w:type="paragraph" w:styleId="856">
    <w:name w:val="table of figures"/>
    <w:basedOn w:val="677"/>
    <w:next w:val="677"/>
    <w:uiPriority w:val="99"/>
    <w:unhideWhenUsed/>
  </w:style>
  <w:style w:type="paragraph" w:styleId="857" w:customStyle="1">
    <w:name w:val="Header"/>
    <w:basedOn w:val="677"/>
    <w:link w:val="858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58" w:customStyle="1">
    <w:name w:val="Верхний колонтитул Знак"/>
    <w:basedOn w:val="678"/>
    <w:link w:val="857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59" w:customStyle="1">
    <w:name w:val="Footer"/>
    <w:basedOn w:val="677"/>
    <w:link w:val="860"/>
    <w:uiPriority w:val="99"/>
    <w:unhideWhenUsed/>
    <w:pPr>
      <w:spacing w:line="240" w:lineRule="auto"/>
      <w:tabs>
        <w:tab w:val="center" w:pos="4677" w:leader="none"/>
        <w:tab w:val="right" w:pos="9355" w:leader="none"/>
      </w:tabs>
    </w:pPr>
  </w:style>
  <w:style w:type="character" w:styleId="860" w:customStyle="1">
    <w:name w:val="Нижний колонтитул Знак"/>
    <w:basedOn w:val="678"/>
    <w:link w:val="859"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18C54C-7545-4DC7-8C7F-4C2240F81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sheglova</dc:creator>
  <cp:keywords/>
  <dc:description/>
  <cp:lastModifiedBy>melnikova</cp:lastModifiedBy>
  <cp:revision>33</cp:revision>
  <dcterms:created xsi:type="dcterms:W3CDTF">2025-05-22T07:32:00Z</dcterms:created>
  <dcterms:modified xsi:type="dcterms:W3CDTF">2026-06-29T09:47:02Z</dcterms:modified>
</cp:coreProperties>
</file>