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927B0" w14:textId="77777777" w:rsidR="00A33420" w:rsidRDefault="00930BD7">
      <w:pPr>
        <w:spacing w:line="240" w:lineRule="atLeast"/>
        <w:ind w:firstLine="0"/>
        <w:jc w:val="center"/>
        <w:rPr>
          <w:b/>
        </w:rPr>
      </w:pPr>
      <w:r>
        <w:rPr>
          <w:b/>
        </w:rPr>
        <w:t>ПОЯСНИТЕЛЬНАЯ ЗАПИСКА</w:t>
      </w:r>
    </w:p>
    <w:p w14:paraId="1CE927B1" w14:textId="77777777" w:rsidR="00A33420" w:rsidRDefault="00A33420">
      <w:pPr>
        <w:spacing w:line="120" w:lineRule="exact"/>
        <w:ind w:firstLine="0"/>
        <w:jc w:val="center"/>
        <w:rPr>
          <w:b/>
        </w:rPr>
      </w:pPr>
    </w:p>
    <w:p w14:paraId="1CE927B2" w14:textId="58270557" w:rsidR="00A33420" w:rsidRDefault="00930BD7">
      <w:pPr>
        <w:spacing w:line="240" w:lineRule="atLeast"/>
        <w:ind w:firstLine="0"/>
        <w:jc w:val="center"/>
        <w:rPr>
          <w:b/>
        </w:rPr>
      </w:pPr>
      <w:r>
        <w:rPr>
          <w:b/>
        </w:rPr>
        <w:t>к проекту федерального закона «О внесении изменений в Основ</w:t>
      </w:r>
      <w:r w:rsidR="00C25C13">
        <w:rPr>
          <w:b/>
        </w:rPr>
        <w:t>ы</w:t>
      </w:r>
      <w:r>
        <w:rPr>
          <w:b/>
        </w:rPr>
        <w:t xml:space="preserve"> законодательства Российской Федерации о нотариате»</w:t>
      </w:r>
    </w:p>
    <w:p w14:paraId="1CE927B4" w14:textId="77777777" w:rsidR="00A33420" w:rsidRDefault="00A33420">
      <w:pPr>
        <w:spacing w:line="240" w:lineRule="atLeast"/>
        <w:ind w:firstLine="0"/>
        <w:jc w:val="both"/>
      </w:pPr>
    </w:p>
    <w:p w14:paraId="1CE927B5" w14:textId="623B3607" w:rsidR="00A33420" w:rsidRDefault="007B4DE4">
      <w:pPr>
        <w:spacing w:line="360" w:lineRule="atLeast"/>
        <w:ind w:firstLine="709"/>
        <w:jc w:val="both"/>
      </w:pPr>
      <w:r>
        <w:t>Проектом ф</w:t>
      </w:r>
      <w:bookmarkStart w:id="0" w:name="_GoBack"/>
      <w:bookmarkEnd w:id="0"/>
      <w:r w:rsidR="00930BD7">
        <w:t>едерального закона «О внесении изменений в Основ</w:t>
      </w:r>
      <w:r w:rsidR="00C25C13">
        <w:t>ы</w:t>
      </w:r>
      <w:r w:rsidR="00930BD7">
        <w:t xml:space="preserve"> законодательства Российской Федерации о нотариате» предлагается закрепить обязательность видеофиксации нотариальных действий </w:t>
      </w:r>
      <w:r w:rsidR="00523217">
        <w:br/>
      </w:r>
      <w:r w:rsidR="00A37729">
        <w:t>при совершении</w:t>
      </w:r>
      <w:r w:rsidR="00DC01A8">
        <w:t xml:space="preserve"> всех</w:t>
      </w:r>
      <w:r w:rsidR="00A37729">
        <w:t xml:space="preserve"> сделок с недвижимостью</w:t>
      </w:r>
      <w:r w:rsidR="00930BD7">
        <w:t>.</w:t>
      </w:r>
    </w:p>
    <w:p w14:paraId="1CE927B6" w14:textId="7F493AB5" w:rsidR="00A33420" w:rsidRDefault="00930BD7">
      <w:pPr>
        <w:spacing w:line="360" w:lineRule="atLeast"/>
        <w:ind w:firstLine="709"/>
        <w:jc w:val="both"/>
      </w:pPr>
      <w:r>
        <w:t xml:space="preserve">По данным исследовательского центра «Аналитика. Бизнес. Право» </w:t>
      </w:r>
      <w:r w:rsidR="00F83C53">
        <w:br/>
      </w:r>
      <w:r>
        <w:t xml:space="preserve">с 2019 года количество преступлений, связанных с мошенничеством в сфере недвижимости, превысило 40 тысяч. </w:t>
      </w:r>
    </w:p>
    <w:p w14:paraId="1CE927B7" w14:textId="375E2778" w:rsidR="00A33420" w:rsidRDefault="00930BD7">
      <w:pPr>
        <w:spacing w:line="360" w:lineRule="atLeast"/>
        <w:ind w:firstLine="709"/>
        <w:jc w:val="both"/>
      </w:pPr>
      <w:r>
        <w:t xml:space="preserve">Судебная практика содержит множество примеров, когда, заключая сделки по продаже недвижимости, граждане полагают, что не продают, </w:t>
      </w:r>
      <w:r w:rsidR="00F83C53">
        <w:br/>
      </w:r>
      <w:r>
        <w:t>а лишь сдают помещение в наем, регистрируют в нем временно третье лицо или продают жилое помещение с правом пожизненного проживания в нем или содержания. Такие продавцы могут находиться под влиянием заблуждения о существе совершаемых ими действий.</w:t>
      </w:r>
    </w:p>
    <w:p w14:paraId="1CE927B8" w14:textId="4D52A9D7" w:rsidR="00A33420" w:rsidRDefault="00930BD7">
      <w:pPr>
        <w:spacing w:line="360" w:lineRule="atLeast"/>
        <w:ind w:firstLine="709"/>
        <w:jc w:val="both"/>
      </w:pPr>
      <w:r>
        <w:t>При этом многие граждане, особенно пенсионного и предпенсионного возраста</w:t>
      </w:r>
      <w:r w:rsidR="00BB07FD">
        <w:t>,</w:t>
      </w:r>
      <w:r>
        <w:t xml:space="preserve"> испытывают сложности с прочтением документов мелким шрифтом, могут страдать ухудшением памяти или иными сложностями </w:t>
      </w:r>
      <w:r w:rsidR="008241C0">
        <w:br/>
      </w:r>
      <w:r>
        <w:t xml:space="preserve">в восприятии происходящих с ними действий. Данные граждане обладают полной дееспособностью, но все равно имеют высокий риск стать жертвой мошеннических действий. В то же время на практике оспорить такую сделку, совершенную в присутствии нотариуса, представляется крайне затруднительным. </w:t>
      </w:r>
    </w:p>
    <w:p w14:paraId="1CE927B9" w14:textId="0901E258" w:rsidR="00A33420" w:rsidRDefault="00930BD7" w:rsidP="00F83C53">
      <w:pPr>
        <w:spacing w:line="360" w:lineRule="atLeast"/>
        <w:ind w:firstLine="709"/>
        <w:jc w:val="both"/>
      </w:pPr>
      <w:r>
        <w:t xml:space="preserve">По действующему законодательству право на видеофиксацию </w:t>
      </w:r>
      <w:r w:rsidR="00735C8F">
        <w:br/>
      </w:r>
      <w:r>
        <w:t xml:space="preserve">при совершении нотариальных действий нотариусы получили </w:t>
      </w:r>
      <w:r w:rsidR="008241C0">
        <w:br/>
      </w:r>
      <w:r>
        <w:t xml:space="preserve">с 1 июля 2015 года. Так, согласно Федеральному закону </w:t>
      </w:r>
      <w:r w:rsidR="008241C0">
        <w:br/>
      </w:r>
      <w:r>
        <w:t>от 30 марта 2015 года № 67-ФЗ «О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w:t>
      </w:r>
      <w:r w:rsidR="00937CC9">
        <w:t>,</w:t>
      </w:r>
      <w:r>
        <w:t xml:space="preserve"> </w:t>
      </w:r>
      <w:r w:rsidR="008241C0">
        <w:br/>
      </w:r>
      <w:r>
        <w:t xml:space="preserve">при совершении нотариального действия нотариус вправе использовать средства видеофиксации. Данное право говорит о том, что технические возможности для видеофиксации имеются. Более того, уже разработан порядок их использования, а также сформировалась практика </w:t>
      </w:r>
      <w:r w:rsidR="008241C0">
        <w:br/>
      </w:r>
      <w:r>
        <w:t>их использования.</w:t>
      </w:r>
    </w:p>
    <w:p w14:paraId="6CDA8424" w14:textId="2DE383EE" w:rsidR="00663085" w:rsidRDefault="00930BD7">
      <w:pPr>
        <w:spacing w:line="360" w:lineRule="atLeast"/>
        <w:ind w:firstLine="709"/>
        <w:jc w:val="both"/>
      </w:pPr>
      <w:r>
        <w:lastRenderedPageBreak/>
        <w:t xml:space="preserve">В связи с этим законопроектом предлагается закрепить </w:t>
      </w:r>
      <w:r w:rsidR="00897CED">
        <w:br/>
      </w:r>
      <w:r>
        <w:t xml:space="preserve">на </w:t>
      </w:r>
      <w:r w:rsidR="00897CED">
        <w:t xml:space="preserve">законодательном </w:t>
      </w:r>
      <w:r>
        <w:t>уровне при удостоверении</w:t>
      </w:r>
      <w:r w:rsidR="00E87FF1">
        <w:t xml:space="preserve"> всех</w:t>
      </w:r>
      <w:r>
        <w:t xml:space="preserve"> сделок, </w:t>
      </w:r>
      <w:r w:rsidR="00E87FF1">
        <w:t xml:space="preserve">связанных </w:t>
      </w:r>
      <w:r w:rsidR="00897CED">
        <w:br/>
      </w:r>
      <w:r w:rsidR="00E87FF1">
        <w:t>с</w:t>
      </w:r>
      <w:r>
        <w:t xml:space="preserve"> недвижим</w:t>
      </w:r>
      <w:r w:rsidR="00E87FF1">
        <w:t>ым</w:t>
      </w:r>
      <w:r>
        <w:t xml:space="preserve"> имуществ</w:t>
      </w:r>
      <w:r w:rsidR="00E87FF1">
        <w:t>ом</w:t>
      </w:r>
      <w:r>
        <w:t>, обязанность нотариуса использова</w:t>
      </w:r>
      <w:r w:rsidR="00663085">
        <w:t>ть</w:t>
      </w:r>
      <w:r>
        <w:t xml:space="preserve"> средств</w:t>
      </w:r>
      <w:r w:rsidR="00663085">
        <w:t>а</w:t>
      </w:r>
      <w:r>
        <w:t xml:space="preserve"> видеофиксации в порядке, установленном </w:t>
      </w:r>
      <w:r w:rsidR="00923C1E" w:rsidRPr="00923C1E">
        <w:t xml:space="preserve">Федеральной нотариальной палатой по согласованию </w:t>
      </w:r>
      <w:r w:rsidR="0036531E">
        <w:t>с Минюстом России</w:t>
      </w:r>
      <w:r>
        <w:t>.</w:t>
      </w:r>
    </w:p>
    <w:p w14:paraId="40F2D028" w14:textId="28C82FF7" w:rsidR="00B26B8F" w:rsidRDefault="00682378">
      <w:pPr>
        <w:spacing w:line="360" w:lineRule="atLeast"/>
        <w:ind w:firstLine="709"/>
        <w:jc w:val="both"/>
      </w:pPr>
      <w:r>
        <w:t>Кроме того</w:t>
      </w:r>
      <w:r w:rsidR="007C64CB">
        <w:t xml:space="preserve">, поскольку </w:t>
      </w:r>
      <w:r w:rsidR="003E76DF">
        <w:t xml:space="preserve">полученные в результате видеофиксации материалы могут послужить доказательствами </w:t>
      </w:r>
      <w:r w:rsidR="00417760">
        <w:t xml:space="preserve">совершения преступлений, срок хранения </w:t>
      </w:r>
      <w:r w:rsidR="00423365">
        <w:t xml:space="preserve">таких материалов должен быть предусмотрен </w:t>
      </w:r>
      <w:r w:rsidR="00312211">
        <w:t>с</w:t>
      </w:r>
      <w:r w:rsidR="00423365">
        <w:t xml:space="preserve"> учетом сроков давности уголовного преследования</w:t>
      </w:r>
      <w:r w:rsidR="00B7411F">
        <w:t>.</w:t>
      </w:r>
    </w:p>
    <w:p w14:paraId="3CCE918E" w14:textId="035E046F" w:rsidR="00753436" w:rsidRDefault="00753436">
      <w:pPr>
        <w:spacing w:line="360" w:lineRule="atLeast"/>
        <w:ind w:firstLine="709"/>
        <w:jc w:val="both"/>
      </w:pPr>
      <w:r>
        <w:t xml:space="preserve">Законопроект доработан с учетом заключения Правительства Российской Федерации от 20 января 2026 года № </w:t>
      </w:r>
      <w:r w:rsidR="00266C97">
        <w:t>ДГ-П4-989.</w:t>
      </w:r>
    </w:p>
    <w:p w14:paraId="1CE927BB" w14:textId="77777777" w:rsidR="00A33420" w:rsidRDefault="00930BD7">
      <w:pPr>
        <w:spacing w:line="360" w:lineRule="atLeast"/>
        <w:ind w:firstLine="709"/>
        <w:jc w:val="both"/>
      </w:pPr>
      <w:r>
        <w:t xml:space="preserve">Требование к видеофиксации должно снизить количество случаев мошеннических действий с участием граждан, которые могут в полной мере не осознавать сути совершаемой сделки. Результаты видеофиксации будут служить доказательствами в пользу продавца, подтверждающими, например, что сделка была на самом деле направлена на иные правовые последствия. Кроме того, материалы видеофиксации могли сами стать предметом для соответствующей судебной экспертизы или послужить основанием для ее назначения. </w:t>
      </w:r>
    </w:p>
    <w:p w14:paraId="1CE927BC" w14:textId="38DDB1E6" w:rsidR="00A33420" w:rsidRDefault="00930BD7">
      <w:pPr>
        <w:spacing w:line="360" w:lineRule="atLeast"/>
        <w:ind w:firstLine="709"/>
        <w:jc w:val="both"/>
      </w:pPr>
      <w:r>
        <w:t xml:space="preserve">С другой стороны, видеофиксация может также помочь защитить </w:t>
      </w:r>
      <w:r w:rsidR="008241C0">
        <w:br/>
      </w:r>
      <w:r>
        <w:t xml:space="preserve">интересы добросовестного приобретателя от возможных злоупотреблений со стороны продавца или его родственников. </w:t>
      </w:r>
    </w:p>
    <w:p w14:paraId="1CE927BD" w14:textId="77777777" w:rsidR="00A33420" w:rsidRDefault="00930BD7">
      <w:pPr>
        <w:spacing w:line="360" w:lineRule="atLeast"/>
        <w:ind w:firstLine="709"/>
        <w:jc w:val="both"/>
      </w:pPr>
      <w:r>
        <w:t>Законопроект соответствует положениям Договора о Евразийском экономическом союзе от 29 мая 2014 года, а также положениям иных международных договоров Российской Федерации.</w:t>
      </w:r>
    </w:p>
    <w:p w14:paraId="1CE927BE" w14:textId="77777777" w:rsidR="00A33420" w:rsidRDefault="00930BD7">
      <w:pPr>
        <w:spacing w:line="360" w:lineRule="atLeast"/>
        <w:ind w:firstLine="709"/>
        <w:jc w:val="both"/>
      </w:pPr>
      <w:r>
        <w:t>На рассмотрении в палатах Федерального Собрания Российской Федерации отсутствуют проекты федеральных законов (федеральные законы) с аналогичным содержанием.</w:t>
      </w:r>
    </w:p>
    <w:sectPr w:rsidR="00A33420" w:rsidSect="00C25C13">
      <w:headerReference w:type="even" r:id="rId6"/>
      <w:headerReference w:type="default" r:id="rId7"/>
      <w:headerReference w:type="first" r:id="rId8"/>
      <w:type w:val="continuous"/>
      <w:pgSz w:w="11906" w:h="16838"/>
      <w:pgMar w:top="1418" w:right="1418" w:bottom="1701" w:left="1418" w:header="709" w:footer="573"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3E8E1" w14:textId="77777777" w:rsidR="001F6698" w:rsidRDefault="001F6698">
      <w:pPr>
        <w:spacing w:line="240" w:lineRule="auto"/>
      </w:pPr>
      <w:r>
        <w:separator/>
      </w:r>
    </w:p>
  </w:endnote>
  <w:endnote w:type="continuationSeparator" w:id="0">
    <w:p w14:paraId="53299F72" w14:textId="77777777" w:rsidR="001F6698" w:rsidRDefault="001F6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701AB" w14:textId="77777777" w:rsidR="001F6698" w:rsidRDefault="001F6698">
      <w:pPr>
        <w:spacing w:line="240" w:lineRule="auto"/>
      </w:pPr>
      <w:r>
        <w:separator/>
      </w:r>
    </w:p>
  </w:footnote>
  <w:footnote w:type="continuationSeparator" w:id="0">
    <w:p w14:paraId="66C78F2E" w14:textId="77777777" w:rsidR="001F6698" w:rsidRDefault="001F66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927BF" w14:textId="77777777" w:rsidR="00A33420" w:rsidRDefault="00930BD7">
    <w:pPr>
      <w:pStyle w:val="a8"/>
    </w:pPr>
    <w:r>
      <w:rPr>
        <w:noProof/>
      </w:rPr>
      <mc:AlternateContent>
        <mc:Choice Requires="wps">
          <w:drawing>
            <wp:anchor distT="0" distB="0" distL="0" distR="0" simplePos="0" relativeHeight="251658240" behindDoc="0" locked="0" layoutInCell="1" allowOverlap="1" wp14:anchorId="1CE927C2" wp14:editId="1CE927C3">
              <wp:simplePos x="0" y="0"/>
              <wp:positionH relativeFrom="margin">
                <wp:align>center</wp:align>
              </wp:positionH>
              <wp:positionV relativeFrom="paragraph">
                <wp:posOffset>635</wp:posOffset>
              </wp:positionV>
              <wp:extent cx="0" cy="0"/>
              <wp:effectExtent l="0" t="0" r="0" b="0"/>
              <wp:wrapSquare wrapText="bothSides" distT="0" distB="0" distL="0" distR="0"/>
              <wp:docPr id="1" name="Picture 1"/>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1CE927C4" w14:textId="77777777" w:rsidR="00A33420" w:rsidRDefault="00A33420">
                          <w:pPr>
                            <w:pStyle w:val="a8"/>
                            <w:rPr>
                              <w:rStyle w:val="af2"/>
                            </w:rPr>
                          </w:pPr>
                        </w:p>
                      </w:txbxContent>
                    </wps:txbx>
                    <wps:bodyPr vert="horz" wrap="square" lIns="0" tIns="0" rIns="0" bIns="0" anchor="t">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CE927C2" id="_x0000_t202" coordsize="21600,21600" o:spt="202" path="m,l,21600r21600,l21600,xe">
              <v:stroke joinstyle="miter"/>
              <v:path gradientshapeok="t" o:connecttype="rect"/>
            </v:shapetype>
            <v:shape id="Picture 1" o:spid="_x0000_s1026" type="#_x0000_t202" style="position:absolute;left:0;text-align:left;margin-left:0;margin-top:.05pt;width:0;height:0;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" filled="f" stroked="f">
              <v:textbox style="mso-fit-shape-to-text:t" inset="0,0,0,0">
                <w:txbxContent>
                  <w:p w14:paraId="1CE927C4" w14:textId="77777777" w:rsidR="00A33420" w:rsidRDefault="00A33420">
                    <w:pPr>
                      <w:pStyle w:val="a8"/>
                      <w:rPr>
                        <w:rStyle w:val="af2"/>
                      </w:rPr>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927C0" w14:textId="6E32B1BD" w:rsidR="00A33420" w:rsidRDefault="00930BD7">
    <w:pPr>
      <w:pStyle w:val="a8"/>
      <w:ind w:firstLine="0"/>
      <w:jc w:val="center"/>
    </w:pPr>
    <w:r>
      <w:fldChar w:fldCharType="begin"/>
    </w:r>
    <w:r>
      <w:instrText xml:space="preserve">PAGE </w:instrText>
    </w:r>
    <w:r>
      <w:fldChar w:fldCharType="separate"/>
    </w:r>
    <w:r w:rsidR="007B4DE4">
      <w:rPr>
        <w:noProof/>
      </w:rPr>
      <w:t>2</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927C1" w14:textId="77777777" w:rsidR="00A33420" w:rsidRDefault="00A33420">
    <w:pPr>
      <w:pStyle w:val="a8"/>
      <w:jc w:val="center"/>
      <w:rPr>
        <w:sz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420"/>
    <w:rsid w:val="000F3C1E"/>
    <w:rsid w:val="001F6698"/>
    <w:rsid w:val="00266C97"/>
    <w:rsid w:val="00312211"/>
    <w:rsid w:val="00312C75"/>
    <w:rsid w:val="0036531E"/>
    <w:rsid w:val="003E76DF"/>
    <w:rsid w:val="0040607D"/>
    <w:rsid w:val="00417760"/>
    <w:rsid w:val="00423365"/>
    <w:rsid w:val="004674D9"/>
    <w:rsid w:val="00523217"/>
    <w:rsid w:val="0057094A"/>
    <w:rsid w:val="00663085"/>
    <w:rsid w:val="00682378"/>
    <w:rsid w:val="006D66C8"/>
    <w:rsid w:val="007207FC"/>
    <w:rsid w:val="00735C8F"/>
    <w:rsid w:val="00753436"/>
    <w:rsid w:val="007B4DE4"/>
    <w:rsid w:val="007C64CB"/>
    <w:rsid w:val="008241C0"/>
    <w:rsid w:val="008312F8"/>
    <w:rsid w:val="00897CED"/>
    <w:rsid w:val="00923C1E"/>
    <w:rsid w:val="00930BD7"/>
    <w:rsid w:val="00937CC9"/>
    <w:rsid w:val="00A159A7"/>
    <w:rsid w:val="00A33420"/>
    <w:rsid w:val="00A37729"/>
    <w:rsid w:val="00A86ACB"/>
    <w:rsid w:val="00B26B8F"/>
    <w:rsid w:val="00B7411F"/>
    <w:rsid w:val="00BB07FD"/>
    <w:rsid w:val="00BB61CE"/>
    <w:rsid w:val="00C25C13"/>
    <w:rsid w:val="00DC01A8"/>
    <w:rsid w:val="00DE6C5C"/>
    <w:rsid w:val="00E87FF1"/>
    <w:rsid w:val="00F83C53"/>
    <w:rsid w:val="00FE29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927B0"/>
  <w15:docId w15:val="{C2370D62-CA92-47DD-9D6E-DFE4645B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8"/>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line="360" w:lineRule="auto"/>
      <w:ind w:firstLine="720"/>
      <w:jc w:val="left"/>
    </w:p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rPr>
  </w:style>
  <w:style w:type="paragraph" w:styleId="3">
    <w:name w:val="heading 3"/>
    <w:next w:val="a"/>
    <w:link w:val="30"/>
    <w:uiPriority w:val="9"/>
    <w:qFormat/>
    <w:pPr>
      <w:spacing w:before="120" w:after="120"/>
      <w:outlineLvl w:val="2"/>
    </w:pPr>
    <w:rPr>
      <w:rFonts w:ascii="XO Thames" w:hAnsi="XO Thames"/>
      <w:b/>
      <w:sz w:val="26"/>
    </w:rPr>
  </w:style>
  <w:style w:type="paragraph" w:styleId="4">
    <w:name w:val="heading 4"/>
    <w:next w:val="a"/>
    <w:link w:val="40"/>
    <w:uiPriority w:val="9"/>
    <w:qFormat/>
    <w:pPr>
      <w:spacing w:before="120" w:after="120"/>
      <w:outlineLvl w:val="3"/>
    </w:pPr>
    <w:rPr>
      <w:rFonts w:ascii="XO Thames" w:hAnsi="XO Thames"/>
      <w:b/>
      <w:sz w:val="24"/>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jc w:val="left"/>
    </w:pPr>
    <w:rPr>
      <w:rFonts w:ascii="XO Thames" w:hAnsi="XO Thames"/>
    </w:rPr>
  </w:style>
  <w:style w:type="character" w:customStyle="1" w:styleId="22">
    <w:name w:val="Оглавление 2 Знак"/>
    <w:link w:val="21"/>
    <w:rPr>
      <w:rFonts w:ascii="XO Thames" w:hAnsi="XO Thames"/>
      <w:sz w:val="28"/>
    </w:rPr>
  </w:style>
  <w:style w:type="paragraph" w:customStyle="1" w:styleId="12">
    <w:name w:val="Знак сноски1"/>
    <w:basedOn w:val="13"/>
    <w:link w:val="a3"/>
    <w:rPr>
      <w:vertAlign w:val="superscript"/>
    </w:rPr>
  </w:style>
  <w:style w:type="character" w:styleId="a3">
    <w:name w:val="footnote reference"/>
    <w:basedOn w:val="a0"/>
    <w:link w:val="12"/>
    <w:rPr>
      <w:vertAlign w:val="superscript"/>
    </w:rPr>
  </w:style>
  <w:style w:type="paragraph" w:styleId="41">
    <w:name w:val="toc 4"/>
    <w:next w:val="a"/>
    <w:link w:val="42"/>
    <w:uiPriority w:val="39"/>
    <w:pPr>
      <w:ind w:left="600"/>
      <w:jc w:val="left"/>
    </w:pPr>
    <w:rPr>
      <w:rFonts w:ascii="XO Thames" w:hAnsi="XO Thames"/>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jc w:val="left"/>
    </w:pPr>
    <w:rPr>
      <w:rFonts w:ascii="XO Thames" w:hAnsi="XO Thames"/>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jc w:val="left"/>
    </w:pPr>
    <w:rPr>
      <w:rFonts w:ascii="XO Thames" w:hAnsi="XO Thames"/>
    </w:rPr>
  </w:style>
  <w:style w:type="character" w:customStyle="1" w:styleId="70">
    <w:name w:val="Оглавление 7 Знак"/>
    <w:link w:val="7"/>
    <w:rPr>
      <w:rFonts w:ascii="XO Thames" w:hAnsi="XO Thames"/>
      <w:sz w:val="28"/>
    </w:rPr>
  </w:style>
  <w:style w:type="paragraph" w:customStyle="1" w:styleId="a4">
    <w:link w:val="a5"/>
    <w:semiHidden/>
    <w:unhideWhenUsed/>
    <w:pPr>
      <w:jc w:val="left"/>
    </w:pPr>
  </w:style>
  <w:style w:type="character" w:customStyle="1" w:styleId="a5">
    <w:link w:val="a4"/>
    <w:semiHidden/>
    <w:unhideWhenUsed/>
  </w:style>
  <w:style w:type="paragraph" w:customStyle="1" w:styleId="Endnote">
    <w:name w:val="Endnote"/>
    <w:link w:val="Endnote0"/>
    <w:pPr>
      <w:ind w:firstLine="851"/>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3">
    <w:name w:val="Основной шрифт абзаца1"/>
  </w:style>
  <w:style w:type="paragraph" w:styleId="a6">
    <w:name w:val="footer"/>
    <w:basedOn w:val="a"/>
    <w:link w:val="a7"/>
    <w:pPr>
      <w:tabs>
        <w:tab w:val="center" w:pos="4677"/>
        <w:tab w:val="right" w:pos="9355"/>
      </w:tabs>
      <w:spacing w:line="240" w:lineRule="auto"/>
    </w:pPr>
  </w:style>
  <w:style w:type="character" w:customStyle="1" w:styleId="a7">
    <w:name w:val="Нижний колонтитул Знак"/>
    <w:basedOn w:val="1"/>
    <w:link w:val="a6"/>
  </w:style>
  <w:style w:type="paragraph" w:styleId="a8">
    <w:name w:val="header"/>
    <w:basedOn w:val="a"/>
    <w:link w:val="a9"/>
    <w:pPr>
      <w:tabs>
        <w:tab w:val="center" w:pos="4677"/>
        <w:tab w:val="right" w:pos="9355"/>
      </w:tabs>
      <w:spacing w:line="240" w:lineRule="auto"/>
    </w:pPr>
  </w:style>
  <w:style w:type="character" w:customStyle="1" w:styleId="a9">
    <w:name w:val="Верхний колонтитул Знак"/>
    <w:basedOn w:val="1"/>
    <w:link w:val="a8"/>
  </w:style>
  <w:style w:type="paragraph" w:styleId="31">
    <w:name w:val="toc 3"/>
    <w:next w:val="a"/>
    <w:link w:val="32"/>
    <w:uiPriority w:val="39"/>
    <w:pPr>
      <w:ind w:left="400"/>
      <w:jc w:val="left"/>
    </w:pPr>
    <w:rPr>
      <w:rFonts w:ascii="XO Thames" w:hAnsi="XO Thames"/>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customStyle="1" w:styleId="14">
    <w:name w:val="Знак примечания1"/>
    <w:basedOn w:val="13"/>
    <w:link w:val="aa"/>
    <w:rPr>
      <w:sz w:val="16"/>
    </w:rPr>
  </w:style>
  <w:style w:type="character" w:styleId="aa">
    <w:name w:val="annotation reference"/>
    <w:basedOn w:val="a0"/>
    <w:link w:val="14"/>
    <w:rPr>
      <w:sz w:val="16"/>
    </w:rPr>
  </w:style>
  <w:style w:type="character" w:customStyle="1" w:styleId="11">
    <w:name w:val="Заголовок 1 Знак"/>
    <w:link w:val="10"/>
    <w:rPr>
      <w:rFonts w:ascii="XO Thames" w:hAnsi="XO Thames"/>
      <w:b/>
      <w:sz w:val="32"/>
    </w:rPr>
  </w:style>
  <w:style w:type="paragraph" w:customStyle="1" w:styleId="15">
    <w:name w:val="Гиперссылка1"/>
    <w:basedOn w:val="13"/>
    <w:link w:val="ab"/>
    <w:rPr>
      <w:color w:val="0000FF" w:themeColor="hyperlink"/>
      <w:u w:val="single"/>
    </w:rPr>
  </w:style>
  <w:style w:type="character" w:styleId="ab">
    <w:name w:val="Hyperlink"/>
    <w:basedOn w:val="a0"/>
    <w:link w:val="15"/>
    <w:rPr>
      <w:color w:val="0000FF" w:themeColor="hyperlink"/>
      <w:u w:val="single"/>
    </w:rPr>
  </w:style>
  <w:style w:type="paragraph" w:customStyle="1" w:styleId="Footnote">
    <w:name w:val="Footnote"/>
    <w:basedOn w:val="a"/>
    <w:link w:val="Footnote0"/>
    <w:pPr>
      <w:spacing w:line="240" w:lineRule="auto"/>
    </w:pPr>
    <w:rPr>
      <w:sz w:val="20"/>
    </w:rPr>
  </w:style>
  <w:style w:type="character" w:customStyle="1" w:styleId="Footnote0">
    <w:name w:val="Footnote"/>
    <w:basedOn w:val="1"/>
    <w:link w:val="Footnote"/>
    <w:rPr>
      <w:sz w:val="20"/>
    </w:rPr>
  </w:style>
  <w:style w:type="paragraph" w:styleId="16">
    <w:name w:val="toc 1"/>
    <w:next w:val="a"/>
    <w:link w:val="17"/>
    <w:uiPriority w:val="39"/>
    <w:pPr>
      <w:jc w:val="left"/>
    </w:pPr>
    <w:rPr>
      <w:rFonts w:ascii="XO Thames" w:hAnsi="XO Thames"/>
      <w:b/>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rPr>
      <w:rFonts w:ascii="XO Thames" w:hAnsi="XO Thames"/>
    </w:rPr>
  </w:style>
  <w:style w:type="character" w:customStyle="1" w:styleId="HeaderandFooter0">
    <w:name w:val="Header and Footer"/>
    <w:link w:val="HeaderandFooter"/>
    <w:rPr>
      <w:rFonts w:ascii="XO Thames" w:hAnsi="XO Thames"/>
      <w:sz w:val="28"/>
    </w:rPr>
  </w:style>
  <w:style w:type="paragraph" w:styleId="ac">
    <w:name w:val="Balloon Text"/>
    <w:basedOn w:val="a"/>
    <w:link w:val="ad"/>
    <w:pPr>
      <w:spacing w:line="240" w:lineRule="auto"/>
    </w:pPr>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s1">
    <w:name w:val="s_1"/>
    <w:basedOn w:val="a"/>
    <w:link w:val="s10"/>
    <w:pPr>
      <w:spacing w:beforeAutospacing="1" w:afterAutospacing="1" w:line="240" w:lineRule="auto"/>
      <w:ind w:firstLine="0"/>
    </w:pPr>
    <w:rPr>
      <w:sz w:val="24"/>
    </w:rPr>
  </w:style>
  <w:style w:type="character" w:customStyle="1" w:styleId="s10">
    <w:name w:val="s_1"/>
    <w:basedOn w:val="1"/>
    <w:link w:val="s1"/>
    <w:rPr>
      <w:sz w:val="24"/>
    </w:rPr>
  </w:style>
  <w:style w:type="paragraph" w:styleId="ae">
    <w:name w:val="annotation subject"/>
    <w:basedOn w:val="af"/>
    <w:next w:val="af"/>
    <w:link w:val="af0"/>
    <w:rPr>
      <w:b/>
    </w:rPr>
  </w:style>
  <w:style w:type="character" w:customStyle="1" w:styleId="af0">
    <w:name w:val="Тема примечания Знак"/>
    <w:basedOn w:val="af1"/>
    <w:link w:val="ae"/>
    <w:rPr>
      <w:b/>
      <w:sz w:val="20"/>
    </w:rPr>
  </w:style>
  <w:style w:type="paragraph" w:styleId="9">
    <w:name w:val="toc 9"/>
    <w:next w:val="a"/>
    <w:link w:val="90"/>
    <w:uiPriority w:val="39"/>
    <w:pPr>
      <w:ind w:left="1600"/>
      <w:jc w:val="left"/>
    </w:pPr>
    <w:rPr>
      <w:rFonts w:ascii="XO Thames" w:hAnsi="XO Thames"/>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jc w:val="left"/>
    </w:pPr>
    <w:rPr>
      <w:rFonts w:ascii="XO Thames" w:hAnsi="XO Thames"/>
    </w:rPr>
  </w:style>
  <w:style w:type="character" w:customStyle="1" w:styleId="80">
    <w:name w:val="Оглавление 8 Знак"/>
    <w:link w:val="8"/>
    <w:rPr>
      <w:rFonts w:ascii="XO Thames" w:hAnsi="XO Thames"/>
      <w:sz w:val="28"/>
    </w:rPr>
  </w:style>
  <w:style w:type="paragraph" w:styleId="af">
    <w:name w:val="annotation text"/>
    <w:basedOn w:val="a"/>
    <w:link w:val="af1"/>
    <w:pPr>
      <w:spacing w:line="240" w:lineRule="auto"/>
    </w:pPr>
    <w:rPr>
      <w:sz w:val="20"/>
    </w:rPr>
  </w:style>
  <w:style w:type="character" w:customStyle="1" w:styleId="af1">
    <w:name w:val="Текст примечания Знак"/>
    <w:basedOn w:val="1"/>
    <w:link w:val="af"/>
    <w:rPr>
      <w:sz w:val="20"/>
    </w:rPr>
  </w:style>
  <w:style w:type="paragraph" w:customStyle="1" w:styleId="18">
    <w:name w:val="Номер страницы1"/>
    <w:basedOn w:val="13"/>
    <w:link w:val="af2"/>
  </w:style>
  <w:style w:type="character" w:styleId="af2">
    <w:name w:val="page number"/>
    <w:basedOn w:val="a0"/>
    <w:link w:val="18"/>
  </w:style>
  <w:style w:type="paragraph" w:customStyle="1" w:styleId="FontStyle12">
    <w:name w:val="Font Style12"/>
    <w:link w:val="FontStyle120"/>
    <w:rPr>
      <w:sz w:val="26"/>
    </w:rPr>
  </w:style>
  <w:style w:type="character" w:customStyle="1" w:styleId="FontStyle120">
    <w:name w:val="Font Style12"/>
    <w:link w:val="FontStyle12"/>
    <w:rPr>
      <w:rFonts w:ascii="Times New Roman" w:hAnsi="Times New Roman"/>
      <w:sz w:val="26"/>
    </w:rPr>
  </w:style>
  <w:style w:type="paragraph" w:styleId="51">
    <w:name w:val="toc 5"/>
    <w:next w:val="a"/>
    <w:link w:val="52"/>
    <w:uiPriority w:val="39"/>
    <w:pPr>
      <w:ind w:left="800"/>
      <w:jc w:val="left"/>
    </w:pPr>
    <w:rPr>
      <w:rFonts w:ascii="XO Thames" w:hAnsi="XO Thames"/>
    </w:rPr>
  </w:style>
  <w:style w:type="character" w:customStyle="1" w:styleId="52">
    <w:name w:val="Оглавление 5 Знак"/>
    <w:link w:val="51"/>
    <w:rPr>
      <w:rFonts w:ascii="XO Thames" w:hAnsi="XO Thames"/>
      <w:sz w:val="28"/>
    </w:rPr>
  </w:style>
  <w:style w:type="paragraph" w:styleId="af3">
    <w:name w:val="Subtitle"/>
    <w:next w:val="a"/>
    <w:link w:val="af4"/>
    <w:uiPriority w:val="11"/>
    <w:qFormat/>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Title"/>
    <w:next w:val="a"/>
    <w:link w:val="af6"/>
    <w:uiPriority w:val="10"/>
    <w:qFormat/>
    <w:pPr>
      <w:spacing w:before="567" w:after="567"/>
      <w:jc w:val="center"/>
    </w:pPr>
    <w:rPr>
      <w:rFonts w:ascii="XO Thames" w:hAnsi="XO Thames"/>
      <w:b/>
      <w:caps/>
      <w:sz w:val="40"/>
    </w:rPr>
  </w:style>
  <w:style w:type="character" w:customStyle="1" w:styleId="af6">
    <w:name w:val="Заголовок Знак"/>
    <w:link w:val="af5"/>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7">
    <w:name w:val="Table Grid"/>
    <w:basedOn w:val="a1"/>
    <w:pPr>
      <w:spacing w:line="360" w:lineRule="atLeast"/>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557</Words>
  <Characters>3177</Characters>
  <Application>Microsoft Office Word</Application>
  <DocSecurity>0</DocSecurity>
  <Lines>26</Lines>
  <Paragraphs>7</Paragraphs>
  <ScaleCrop>false</ScaleCrop>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я</cp:lastModifiedBy>
  <cp:revision>34</cp:revision>
  <dcterms:created xsi:type="dcterms:W3CDTF">2026-01-28T09:54:00Z</dcterms:created>
  <dcterms:modified xsi:type="dcterms:W3CDTF">2026-01-29T12:36:00Z</dcterms:modified>
</cp:coreProperties>
</file>