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2000000">
      <w:pPr>
        <w:widowControl w:val="1"/>
        <w:spacing w:after="0" w:line="240" w:lineRule="auto"/>
        <w:ind/>
        <w:jc w:val="center"/>
        <w:rPr>
          <w:rFonts w:ascii="Times New Roman" w:hAnsi="Times New Roman"/>
          <w:b w:val="1"/>
          <w:sz w:val="28"/>
        </w:rPr>
      </w:pPr>
      <w:r>
        <w:rPr>
          <w:rFonts w:ascii="Times New Roman" w:hAnsi="Times New Roman"/>
          <w:b w:val="1"/>
          <w:sz w:val="28"/>
        </w:rPr>
        <w:t>ПОЯСНИТЕЛЬНАЯ ЗАПИСКА</w:t>
      </w:r>
    </w:p>
    <w:p w14:paraId="03000000">
      <w:pPr>
        <w:widowControl w:val="1"/>
        <w:spacing w:after="0" w:line="240" w:lineRule="auto"/>
        <w:ind/>
        <w:jc w:val="center"/>
        <w:rPr>
          <w:rFonts w:ascii="Times New Roman" w:hAnsi="Times New Roman"/>
          <w:b w:val="1"/>
          <w:sz w:val="28"/>
        </w:rPr>
      </w:pPr>
    </w:p>
    <w:p w14:paraId="04000000">
      <w:pPr>
        <w:widowControl w:val="1"/>
        <w:spacing w:after="0" w:line="240" w:lineRule="auto"/>
        <w:ind/>
        <w:jc w:val="center"/>
        <w:rPr>
          <w:rFonts w:ascii="Times New Roman" w:hAnsi="Times New Roman"/>
          <w:b w:val="1"/>
          <w:sz w:val="28"/>
        </w:rPr>
      </w:pPr>
      <w:r>
        <w:rPr>
          <w:rFonts w:ascii="Times New Roman" w:hAnsi="Times New Roman"/>
          <w:b w:val="1"/>
          <w:sz w:val="28"/>
        </w:rPr>
        <w:t>к проекту ф</w:t>
      </w:r>
      <w:r>
        <w:rPr>
          <w:rFonts w:ascii="Times New Roman" w:hAnsi="Times New Roman"/>
          <w:b w:val="1"/>
          <w:sz w:val="28"/>
        </w:rPr>
        <w:t xml:space="preserve">едерального закона </w:t>
      </w:r>
      <w:bookmarkStart w:id="1" w:name="_Hlk215607455"/>
      <w:bookmarkEnd w:id="1"/>
      <w:r>
        <w:rPr>
          <w:rFonts w:ascii="Times New Roman" w:hAnsi="Times New Roman"/>
          <w:b w:val="1"/>
          <w:sz w:val="28"/>
        </w:rPr>
        <w:t>«</w:t>
      </w:r>
      <w:r>
        <w:rPr>
          <w:rFonts w:ascii="Times New Roman" w:hAnsi="Times New Roman"/>
          <w:b w:val="1"/>
          <w:sz w:val="28"/>
        </w:rPr>
        <w:t>О внесении изменений в Федеральный закон «О мерах государственной поддержки семей, имеющих детей» (в части погашения обязательств по ипотечным жилищным кредитам (займам) и «О внесении изменений в статью 13.2 Федерального закона «Об актах гражданского состояния» (в части увеличения предельного размера мер государственной поддержки семей, имеющих детей, в целях создания условий для погашения обязательств по ипотечным жилищным кредитам (займам)</w:t>
      </w:r>
    </w:p>
    <w:p w14:paraId="05000000">
      <w:pPr>
        <w:widowControl w:val="1"/>
        <w:spacing w:after="0" w:line="360" w:lineRule="atLeast"/>
        <w:ind/>
        <w:rPr>
          <w:rFonts w:ascii="Times New Roman" w:hAnsi="Times New Roman"/>
          <w:sz w:val="28"/>
        </w:rPr>
      </w:pPr>
    </w:p>
    <w:p w14:paraId="06000000">
      <w:pPr>
        <w:widowControl w:val="1"/>
        <w:spacing w:after="0" w:line="360" w:lineRule="auto"/>
        <w:ind w:firstLine="708"/>
        <w:jc w:val="both"/>
        <w:rPr>
          <w:rFonts w:ascii="Times New Roman" w:hAnsi="Times New Roman"/>
          <w:sz w:val="28"/>
        </w:rPr>
      </w:pPr>
      <w:r>
        <w:rPr>
          <w:rFonts w:ascii="Times New Roman" w:hAnsi="Times New Roman"/>
          <w:sz w:val="28"/>
        </w:rPr>
        <w:t xml:space="preserve">Настоящий законопроект разработан в целях </w:t>
      </w:r>
      <w:r>
        <w:rPr>
          <w:rFonts w:ascii="Times New Roman" w:hAnsi="Times New Roman"/>
          <w:sz w:val="28"/>
        </w:rPr>
        <w:t>совершенствования механизмов государственной поддержки многодетных семей и восстановления реальной экономической эффективности мер, направленных на помощь в улучшении жилищных условий граждан Российской Федерации, воспитывающих трех и более детей. Действующая редакция Федерального закона от 3 июля 2019 года № 157-ФЗ предусматривает фиксированную выплату в размере 450 тысяч рублей на погашение ипотечного кредита, однако с момента принятия закона в 2019 году данная сумма ни разу не индексировалась. В условиях существенного роста стоимости квадратного метра жилья, накопленной инфляции и изменения макроэкономической ситуации реальная ценность данной меры поддержки значительно снизилась, что требует законодательного пересмотра подхода к определению размера выплаты.</w:t>
      </w:r>
    </w:p>
    <w:p w14:paraId="07000000">
      <w:pPr>
        <w:widowControl w:val="1"/>
        <w:spacing w:after="0" w:line="360" w:lineRule="auto"/>
        <w:ind w:firstLine="708"/>
        <w:jc w:val="both"/>
        <w:rPr>
          <w:rFonts w:ascii="Times New Roman" w:hAnsi="Times New Roman"/>
          <w:sz w:val="28"/>
        </w:rPr>
      </w:pPr>
      <w:r>
        <w:rPr>
          <w:rFonts w:ascii="Times New Roman" w:hAnsi="Times New Roman"/>
          <w:sz w:val="28"/>
        </w:rPr>
        <w:t xml:space="preserve">Законопроектом предлагается отойти от исключительно фиксированной суммы и внедрить комбинированную модель расчета предельного размера государственной поддержки, которая учитывала бы как необходимость гарантированного минимума, так и масштаб кредитной нагрузки семьи. Проектом устанавливается, что размер выплаты составляет 6,4 процента от суммы кредита (займа), предоставленного по договору, но при этом предельный размер поддержки не может быть менее 550 тысяч рублей. Данный подход позволяет решить две задачи одновременно: во-первых, увеличить гарантированный размер помощи для всех категорий получателей (с 450 до 550 тысяч рублей), что особенно актуально для регионов с умеренной стоимостью жилья, и, во-вторых, обеспечить справедливый уровень поддержки для семей, </w:t>
      </w:r>
      <w:r>
        <w:rPr>
          <w:rFonts w:ascii="Times New Roman" w:hAnsi="Times New Roman"/>
          <w:sz w:val="28"/>
        </w:rPr>
        <w:t>проживающих в крупных агломерациях с высокой стоимостью недвижимости, где прежняя сумма выплаты стала составлять незначительную долю от общей задолженности. Введение процентного порога (6,4%) позволяет привязать объем помощи к реальной стоимости жилья, приобретенного семьей, тем самым восстанавливая стимулирующую функцию закона и его социальную справедливость.</w:t>
      </w:r>
    </w:p>
    <w:p w14:paraId="08000000">
      <w:pPr>
        <w:widowControl w:val="1"/>
        <w:spacing w:after="0" w:line="360" w:lineRule="auto"/>
        <w:ind w:firstLine="708"/>
        <w:jc w:val="both"/>
        <w:rPr>
          <w:rFonts w:ascii="Times New Roman" w:hAnsi="Times New Roman"/>
          <w:sz w:val="28"/>
        </w:rPr>
      </w:pPr>
      <w:r>
        <w:rPr>
          <w:rFonts w:ascii="Times New Roman" w:hAnsi="Times New Roman"/>
          <w:sz w:val="28"/>
        </w:rPr>
        <w:t>Принятие законопроекта позволит повысить уровень социальной защищенности многодетных семей, снизить их долговую нагрузку в условиях современной экономической конъюнктуры и станет действенным инструментом демографической политики, стимулирующим рождение третьих и последующих детей. Реализация предлагаемых изменений обеспечит сохранение актуальности мер государственной поддержки в долгосрочной перспективе и предотвратит их дальнейшее экономическое обесценивание.</w:t>
      </w:r>
    </w:p>
    <w:p w14:paraId="09000000">
      <w:pPr>
        <w:widowControl w:val="1"/>
        <w:spacing w:after="0" w:line="360" w:lineRule="auto"/>
        <w:ind w:firstLine="708"/>
        <w:jc w:val="both"/>
        <w:rPr>
          <w:rFonts w:ascii="Times New Roman" w:hAnsi="Times New Roman"/>
          <w:sz w:val="28"/>
        </w:rPr>
      </w:pPr>
      <w:r>
        <w:rPr>
          <w:rFonts w:ascii="Times New Roman" w:hAnsi="Times New Roman"/>
          <w:sz w:val="28"/>
        </w:rPr>
        <w:t>Проект не противоречит положениям Конституции Российской Федерации, федеральным законам, международным обязательствам и реализует долгосрочные социальные приоритеты государства, обозначенные нормативными актами Российской Федерации.</w:t>
      </w:r>
    </w:p>
    <w:p w14:paraId="0A000000">
      <w:pPr>
        <w:widowControl w:val="1"/>
        <w:spacing w:after="0" w:line="360" w:lineRule="auto"/>
        <w:ind w:firstLine="708"/>
        <w:jc w:val="both"/>
        <w:rPr>
          <w:rFonts w:ascii="Times New Roman" w:hAnsi="Times New Roman"/>
          <w:sz w:val="28"/>
        </w:rPr>
      </w:pPr>
      <w:r>
        <w:rPr>
          <w:rFonts w:ascii="Times New Roman" w:hAnsi="Times New Roman"/>
          <w:sz w:val="28"/>
        </w:rPr>
        <w:t>Законопроект не противоречит положениям Договора о Евразийском экономическом союзе, а также положениям иных международных договоров Российской Федерации.</w:t>
      </w:r>
    </w:p>
    <w:p w14:paraId="0B000000">
      <w:pPr>
        <w:widowControl w:val="1"/>
        <w:spacing w:after="0" w:line="360" w:lineRule="auto"/>
        <w:ind w:firstLine="709"/>
        <w:jc w:val="both"/>
        <w:rPr>
          <w:rFonts w:ascii="Times New Roman" w:hAnsi="Times New Roman"/>
          <w:sz w:val="28"/>
        </w:rPr>
      </w:pPr>
    </w:p>
    <w:p w14:paraId="0C000000">
      <w:pPr>
        <w:widowControl w:val="1"/>
        <w:tabs>
          <w:tab w:leader="none" w:pos="180" w:val="left"/>
        </w:tabs>
        <w:spacing w:after="0" w:line="240" w:lineRule="auto"/>
        <w:ind/>
        <w:rPr>
          <w:rFonts w:ascii="Times New Roman" w:hAnsi="Times New Roman"/>
          <w:sz w:val="30"/>
        </w:rPr>
      </w:pPr>
    </w:p>
    <w:sectPr>
      <w:headerReference r:id="rId1" w:type="default"/>
      <w:pgSz w:h="16840" w:orient="portrait" w:w="11907"/>
      <w:pgMar w:bottom="1134" w:footer="720" w:gutter="0" w:header="720" w:left="1418" w:right="851" w:top="1134"/>
      <w:pgNumType w:start="1"/>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1000000">
    <w:pPr>
      <w:pStyle w:val="Style_1"/>
      <w:widowControl w:val="1"/>
      <w:ind/>
      <w:jc w:val="center"/>
      <w:rPr>
        <w:rFonts w:ascii="Times New Roman" w:hAnsi="Times New Roman"/>
        <w:sz w:val="28"/>
      </w:rPr>
    </w:pPr>
    <w:r>
      <w:rPr>
        <w:rFonts w:ascii="Times New Roman" w:hAnsi="Times New Roman"/>
        <w:sz w:val="28"/>
      </w:rPr>
      <w:fldChar w:fldCharType="begin"/>
    </w:r>
    <w:r>
      <w:rPr>
        <w:rFonts w:ascii="Times New Roman" w:hAnsi="Times New Roman"/>
        <w:sz w:val="28"/>
      </w:rPr>
      <w:instrText xml:space="preserve">PAGE </w:instrText>
    </w:r>
    <w:r>
      <w:rPr>
        <w:rFonts w:ascii="Times New Roman" w:hAnsi="Times New Roman"/>
        <w:sz w:val="28"/>
      </w:rPr>
      <w:fldChar w:fldCharType="separate"/>
    </w:r>
    <w:r>
      <w:rPr>
        <w:rFonts w:ascii="Times New Roman" w:hAnsi="Times New Roman"/>
        <w:sz w:val="28"/>
      </w:rPr>
      <w:t xml:space="preserve"> </w:t>
    </w:r>
    <w:r>
      <w:rPr>
        <w:rFonts w:ascii="Times New Roman" w:hAnsi="Times New Roman"/>
        <w:sz w:val="28"/>
      </w:rPr>
      <w:fldChar w:fldCharType="end"/>
    </w:r>
  </w:p>
</w:hdr>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Calibri" w:hAnsi="Calibri"/>
        <w:color w:val="000000"/>
        <w:spacing w:val="0"/>
        <w:sz w:val="20"/>
      </w:rPr>
    </w:rPrDefault>
    <w:pPrDefault>
      <w:pPr>
        <w:widowControl w:val="1"/>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2" w:type="paragraph">
    <w:name w:val="Normal"/>
    <w:link w:val="Style_2_ch"/>
    <w:uiPriority w:val="0"/>
    <w:qFormat/>
    <w:pPr>
      <w:widowControl w:val="1"/>
      <w:spacing w:after="200" w:line="276" w:lineRule="auto"/>
      <w:ind/>
    </w:pPr>
    <w:rPr>
      <w:sz w:val="22"/>
    </w:rPr>
  </w:style>
  <w:style w:default="1" w:styleId="Style_2_ch" w:type="character">
    <w:name w:val="Normal"/>
    <w:link w:val="Style_2"/>
    <w:rPr>
      <w:sz w:val="22"/>
    </w:rPr>
  </w:style>
  <w:style w:styleId="Style_3" w:type="paragraph">
    <w:name w:val="toc 2"/>
    <w:next w:val="Style_2"/>
    <w:link w:val="Style_3_ch"/>
    <w:uiPriority w:val="39"/>
    <w:pPr>
      <w:widowControl w:val="1"/>
      <w:ind w:firstLine="0" w:left="200"/>
      <w:jc w:val="left"/>
    </w:pPr>
    <w:rPr>
      <w:rFonts w:ascii="XO Thames" w:hAnsi="XO Thames"/>
      <w:sz w:val="28"/>
    </w:rPr>
  </w:style>
  <w:style w:styleId="Style_3_ch" w:type="character">
    <w:name w:val="toc 2"/>
    <w:link w:val="Style_3"/>
    <w:rPr>
      <w:rFonts w:ascii="XO Thames" w:hAnsi="XO Thames"/>
      <w:sz w:val="28"/>
    </w:rPr>
  </w:style>
  <w:style w:styleId="Style_4" w:type="paragraph">
    <w:name w:val="Plain Text"/>
    <w:basedOn w:val="Style_2"/>
    <w:link w:val="Style_4_ch"/>
    <w:pPr>
      <w:widowControl w:val="1"/>
      <w:pBdr>
        <w:top w:space="31" w:sz="4" w:val="nil"/>
        <w:left w:space="31" w:sz="4" w:val="nil"/>
        <w:bottom w:space="31" w:sz="4" w:val="nil"/>
        <w:right w:space="31" w:sz="4" w:val="nil"/>
      </w:pBdr>
      <w:spacing w:after="0" w:line="240" w:lineRule="auto"/>
      <w:ind/>
    </w:pPr>
    <w:rPr>
      <w:rFonts w:ascii="Arial Unicode MS" w:hAnsi="Arial Unicode MS"/>
      <w:color w:val="000000"/>
    </w:rPr>
  </w:style>
  <w:style w:styleId="Style_4_ch" w:type="character">
    <w:name w:val="Plain Text"/>
    <w:basedOn w:val="Style_2_ch"/>
    <w:link w:val="Style_4"/>
    <w:rPr>
      <w:rFonts w:ascii="Arial Unicode MS" w:hAnsi="Arial Unicode MS"/>
      <w:color w:val="000000"/>
    </w:rPr>
  </w:style>
  <w:style w:styleId="Style_5" w:type="paragraph">
    <w:name w:val="toc 4"/>
    <w:next w:val="Style_2"/>
    <w:link w:val="Style_5_ch"/>
    <w:uiPriority w:val="39"/>
    <w:pPr>
      <w:widowControl w:val="1"/>
      <w:ind w:firstLine="0" w:left="600"/>
      <w:jc w:val="left"/>
    </w:pPr>
    <w:rPr>
      <w:rFonts w:ascii="XO Thames" w:hAnsi="XO Thames"/>
      <w:sz w:val="28"/>
    </w:rPr>
  </w:style>
  <w:style w:styleId="Style_5_ch" w:type="character">
    <w:name w:val="toc 4"/>
    <w:link w:val="Style_5"/>
    <w:rPr>
      <w:rFonts w:ascii="XO Thames" w:hAnsi="XO Thames"/>
      <w:sz w:val="28"/>
    </w:rPr>
  </w:style>
  <w:style w:styleId="Style_6" w:type="paragraph">
    <w:name w:val="toc 6"/>
    <w:next w:val="Style_2"/>
    <w:link w:val="Style_6_ch"/>
    <w:uiPriority w:val="39"/>
    <w:pPr>
      <w:widowControl w:val="1"/>
      <w:ind w:firstLine="0" w:left="1000"/>
      <w:jc w:val="left"/>
    </w:pPr>
    <w:rPr>
      <w:rFonts w:ascii="XO Thames" w:hAnsi="XO Thames"/>
      <w:sz w:val="28"/>
    </w:rPr>
  </w:style>
  <w:style w:styleId="Style_6_ch" w:type="character">
    <w:name w:val="toc 6"/>
    <w:link w:val="Style_6"/>
    <w:rPr>
      <w:rFonts w:ascii="XO Thames" w:hAnsi="XO Thames"/>
      <w:sz w:val="28"/>
    </w:rPr>
  </w:style>
  <w:style w:styleId="Style_7" w:type="paragraph">
    <w:name w:val="toc 7"/>
    <w:next w:val="Style_2"/>
    <w:link w:val="Style_7_ch"/>
    <w:uiPriority w:val="39"/>
    <w:pPr>
      <w:widowControl w:val="1"/>
      <w:ind w:firstLine="0" w:left="1200"/>
      <w:jc w:val="left"/>
    </w:pPr>
    <w:rPr>
      <w:rFonts w:ascii="XO Thames" w:hAnsi="XO Thames"/>
      <w:sz w:val="28"/>
    </w:rPr>
  </w:style>
  <w:style w:styleId="Style_7_ch" w:type="character">
    <w:name w:val="toc 7"/>
    <w:link w:val="Style_7"/>
    <w:rPr>
      <w:rFonts w:ascii="XO Thames" w:hAnsi="XO Thames"/>
      <w:sz w:val="28"/>
    </w:rPr>
  </w:style>
  <w:style w:styleId="Style_8" w:type="paragraph">
    <w:name w:val="Endnote"/>
    <w:link w:val="Style_8_ch"/>
    <w:pPr>
      <w:widowControl w:val="1"/>
      <w:ind w:firstLine="851" w:left="0"/>
      <w:jc w:val="both"/>
    </w:pPr>
    <w:rPr>
      <w:rFonts w:ascii="XO Thames" w:hAnsi="XO Thames"/>
      <w:sz w:val="22"/>
    </w:rPr>
  </w:style>
  <w:style w:styleId="Style_8_ch" w:type="character">
    <w:name w:val="Endnote"/>
    <w:link w:val="Style_8"/>
    <w:rPr>
      <w:rFonts w:ascii="XO Thames" w:hAnsi="XO Thames"/>
      <w:sz w:val="22"/>
    </w:rPr>
  </w:style>
  <w:style w:styleId="Style_9" w:type="paragraph">
    <w:name w:val="heading 3"/>
    <w:next w:val="Style_2"/>
    <w:link w:val="Style_9_ch"/>
    <w:uiPriority w:val="9"/>
    <w:qFormat/>
    <w:pPr>
      <w:widowControl w:val="1"/>
      <w:spacing w:after="120" w:before="120"/>
      <w:ind/>
      <w:jc w:val="both"/>
      <w:outlineLvl w:val="2"/>
    </w:pPr>
    <w:rPr>
      <w:rFonts w:ascii="XO Thames" w:hAnsi="XO Thames"/>
      <w:b w:val="1"/>
      <w:sz w:val="26"/>
    </w:rPr>
  </w:style>
  <w:style w:styleId="Style_9_ch" w:type="character">
    <w:name w:val="heading 3"/>
    <w:link w:val="Style_9"/>
    <w:rPr>
      <w:rFonts w:ascii="XO Thames" w:hAnsi="XO Thames"/>
      <w:b w:val="1"/>
      <w:sz w:val="26"/>
    </w:rPr>
  </w:style>
  <w:style w:styleId="Style_10" w:type="paragraph">
    <w:name w:val="annotation reference"/>
    <w:link w:val="Style_10_ch"/>
    <w:rPr>
      <w:sz w:val="16"/>
    </w:rPr>
  </w:style>
  <w:style w:styleId="Style_10_ch" w:type="character">
    <w:name w:val="annotation reference"/>
    <w:link w:val="Style_10"/>
    <w:rPr>
      <w:sz w:val="16"/>
    </w:rPr>
  </w:style>
  <w:style w:styleId="Style_11" w:type="paragraph">
    <w:name w:val="List Paragraph"/>
    <w:basedOn w:val="Style_2"/>
    <w:link w:val="Style_11_ch"/>
    <w:pPr>
      <w:widowControl w:val="1"/>
      <w:ind w:left="720"/>
      <w:contextualSpacing w:val="1"/>
    </w:pPr>
  </w:style>
  <w:style w:styleId="Style_11_ch" w:type="character">
    <w:name w:val="List Paragraph"/>
    <w:basedOn w:val="Style_2_ch"/>
    <w:link w:val="Style_11"/>
  </w:style>
  <w:style w:styleId="Style_12" w:type="paragraph">
    <w:name w:val="Default Paragraph Font"/>
    <w:link w:val="Style_12_ch"/>
  </w:style>
  <w:style w:styleId="Style_12_ch" w:type="character">
    <w:name w:val="Default Paragraph Font"/>
    <w:link w:val="Style_12"/>
  </w:style>
  <w:style w:styleId="Style_13" w:type="paragraph">
    <w:name w:val="toc 3"/>
    <w:next w:val="Style_2"/>
    <w:link w:val="Style_13_ch"/>
    <w:uiPriority w:val="39"/>
    <w:pPr>
      <w:widowControl w:val="1"/>
      <w:ind w:firstLine="0" w:left="400"/>
      <w:jc w:val="left"/>
    </w:pPr>
    <w:rPr>
      <w:rFonts w:ascii="XO Thames" w:hAnsi="XO Thames"/>
      <w:sz w:val="28"/>
    </w:rPr>
  </w:style>
  <w:style w:styleId="Style_13_ch" w:type="character">
    <w:name w:val="toc 3"/>
    <w:link w:val="Style_13"/>
    <w:rPr>
      <w:rFonts w:ascii="XO Thames" w:hAnsi="XO Thames"/>
      <w:sz w:val="28"/>
    </w:rPr>
  </w:style>
  <w:style w:styleId="Style_14" w:type="paragraph">
    <w:name w:val="annotation subject"/>
    <w:basedOn w:val="Style_15"/>
    <w:next w:val="Style_15"/>
    <w:link w:val="Style_14_ch"/>
    <w:rPr>
      <w:b w:val="1"/>
    </w:rPr>
  </w:style>
  <w:style w:styleId="Style_14_ch" w:type="character">
    <w:name w:val="annotation subject"/>
    <w:basedOn w:val="Style_15_ch"/>
    <w:link w:val="Style_14"/>
    <w:rPr>
      <w:b w:val="1"/>
    </w:rPr>
  </w:style>
  <w:style w:styleId="Style_16" w:type="paragraph">
    <w:name w:val="heading 5"/>
    <w:next w:val="Style_2"/>
    <w:link w:val="Style_16_ch"/>
    <w:uiPriority w:val="9"/>
    <w:qFormat/>
    <w:pPr>
      <w:widowControl w:val="1"/>
      <w:spacing w:after="120" w:before="120"/>
      <w:ind/>
      <w:jc w:val="both"/>
      <w:outlineLvl w:val="4"/>
    </w:pPr>
    <w:rPr>
      <w:rFonts w:ascii="XO Thames" w:hAnsi="XO Thames"/>
      <w:b w:val="1"/>
      <w:sz w:val="22"/>
    </w:rPr>
  </w:style>
  <w:style w:styleId="Style_16_ch" w:type="character">
    <w:name w:val="heading 5"/>
    <w:link w:val="Style_16"/>
    <w:rPr>
      <w:rFonts w:ascii="XO Thames" w:hAnsi="XO Thames"/>
      <w:b w:val="1"/>
      <w:sz w:val="22"/>
    </w:rPr>
  </w:style>
  <w:style w:styleId="Style_17" w:type="paragraph">
    <w:name w:val="heading 1"/>
    <w:next w:val="Style_2"/>
    <w:link w:val="Style_17_ch"/>
    <w:uiPriority w:val="9"/>
    <w:qFormat/>
    <w:pPr>
      <w:widowControl w:val="1"/>
      <w:spacing w:after="120" w:before="120"/>
      <w:ind/>
      <w:jc w:val="both"/>
      <w:outlineLvl w:val="0"/>
    </w:pPr>
    <w:rPr>
      <w:rFonts w:ascii="XO Thames" w:hAnsi="XO Thames"/>
      <w:b w:val="1"/>
      <w:sz w:val="32"/>
    </w:rPr>
  </w:style>
  <w:style w:styleId="Style_17_ch" w:type="character">
    <w:name w:val="heading 1"/>
    <w:link w:val="Style_17"/>
    <w:rPr>
      <w:rFonts w:ascii="XO Thames" w:hAnsi="XO Thames"/>
      <w:b w:val="1"/>
      <w:sz w:val="32"/>
    </w:rPr>
  </w:style>
  <w:style w:styleId="Style_15" w:type="paragraph">
    <w:name w:val="annotation text"/>
    <w:basedOn w:val="Style_2"/>
    <w:link w:val="Style_15_ch"/>
    <w:pPr>
      <w:widowControl w:val="1"/>
      <w:spacing w:line="240" w:lineRule="auto"/>
      <w:ind/>
    </w:pPr>
    <w:rPr>
      <w:sz w:val="20"/>
    </w:rPr>
  </w:style>
  <w:style w:styleId="Style_15_ch" w:type="character">
    <w:name w:val="annotation text"/>
    <w:basedOn w:val="Style_2_ch"/>
    <w:link w:val="Style_15"/>
    <w:rPr>
      <w:sz w:val="20"/>
    </w:rPr>
  </w:style>
  <w:style w:styleId="Style_18" w:type="paragraph">
    <w:name w:val="Font Style15"/>
    <w:link w:val="Style_18_ch"/>
    <w:rPr>
      <w:rFonts w:ascii="Times New Roman" w:hAnsi="Times New Roman"/>
      <w:sz w:val="28"/>
    </w:rPr>
  </w:style>
  <w:style w:styleId="Style_18_ch" w:type="character">
    <w:name w:val="Font Style15"/>
    <w:link w:val="Style_18"/>
    <w:rPr>
      <w:rFonts w:ascii="Times New Roman" w:hAnsi="Times New Roman"/>
      <w:sz w:val="28"/>
    </w:rPr>
  </w:style>
  <w:style w:styleId="Style_19" w:type="paragraph">
    <w:name w:val="Hyperlink"/>
    <w:link w:val="Style_19_ch"/>
    <w:rPr>
      <w:color w:val="0000FF"/>
      <w:u w:val="single"/>
    </w:rPr>
  </w:style>
  <w:style w:styleId="Style_19_ch" w:type="character">
    <w:name w:val="Hyperlink"/>
    <w:link w:val="Style_19"/>
    <w:rPr>
      <w:color w:val="0000FF"/>
      <w:u w:val="single"/>
    </w:rPr>
  </w:style>
  <w:style w:styleId="Style_20" w:type="paragraph">
    <w:name w:val="Footnote"/>
    <w:link w:val="Style_20_ch"/>
    <w:pPr>
      <w:widowControl w:val="1"/>
      <w:ind w:firstLine="851" w:left="0"/>
      <w:jc w:val="both"/>
    </w:pPr>
    <w:rPr>
      <w:rFonts w:ascii="XO Thames" w:hAnsi="XO Thames"/>
      <w:sz w:val="22"/>
    </w:rPr>
  </w:style>
  <w:style w:styleId="Style_20_ch" w:type="character">
    <w:name w:val="Footnote"/>
    <w:link w:val="Style_20"/>
    <w:rPr>
      <w:rFonts w:ascii="XO Thames" w:hAnsi="XO Thames"/>
      <w:sz w:val="22"/>
    </w:rPr>
  </w:style>
  <w:style w:styleId="Style_21" w:type="paragraph">
    <w:name w:val="footer"/>
    <w:basedOn w:val="Style_2"/>
    <w:link w:val="Style_21_ch"/>
    <w:pPr>
      <w:widowControl w:val="1"/>
      <w:tabs>
        <w:tab w:leader="none" w:pos="4677" w:val="center"/>
        <w:tab w:leader="none" w:pos="9355" w:val="right"/>
      </w:tabs>
      <w:ind/>
    </w:pPr>
  </w:style>
  <w:style w:styleId="Style_21_ch" w:type="character">
    <w:name w:val="footer"/>
    <w:basedOn w:val="Style_2_ch"/>
    <w:link w:val="Style_21"/>
  </w:style>
  <w:style w:styleId="Style_22" w:type="paragraph">
    <w:name w:val="toc 1"/>
    <w:next w:val="Style_2"/>
    <w:link w:val="Style_22_ch"/>
    <w:uiPriority w:val="39"/>
    <w:pPr>
      <w:widowControl w:val="1"/>
      <w:ind w:firstLine="0" w:left="0"/>
      <w:jc w:val="left"/>
    </w:pPr>
    <w:rPr>
      <w:rFonts w:ascii="XO Thames" w:hAnsi="XO Thames"/>
      <w:b w:val="1"/>
      <w:sz w:val="28"/>
    </w:rPr>
  </w:style>
  <w:style w:styleId="Style_22_ch" w:type="character">
    <w:name w:val="toc 1"/>
    <w:link w:val="Style_22"/>
    <w:rPr>
      <w:rFonts w:ascii="XO Thames" w:hAnsi="XO Thames"/>
      <w:b w:val="1"/>
      <w:sz w:val="28"/>
    </w:rPr>
  </w:style>
  <w:style w:styleId="Style_23" w:type="paragraph">
    <w:name w:val="Header and Footer"/>
    <w:link w:val="Style_23_ch"/>
    <w:pPr>
      <w:widowControl w:val="1"/>
      <w:spacing w:line="240" w:lineRule="auto"/>
      <w:ind/>
      <w:jc w:val="both"/>
    </w:pPr>
    <w:rPr>
      <w:rFonts w:ascii="XO Thames" w:hAnsi="XO Thames"/>
      <w:sz w:val="28"/>
    </w:rPr>
  </w:style>
  <w:style w:styleId="Style_23_ch" w:type="character">
    <w:name w:val="Header and Footer"/>
    <w:link w:val="Style_23"/>
    <w:rPr>
      <w:rFonts w:ascii="XO Thames" w:hAnsi="XO Thames"/>
      <w:sz w:val="28"/>
    </w:rPr>
  </w:style>
  <w:style w:styleId="Style_24" w:type="paragraph">
    <w:name w:val="HTML Preformatted"/>
    <w:basedOn w:val="Style_2"/>
    <w:link w:val="Style_24_ch"/>
    <w:pPr>
      <w:widowControl w:val="1"/>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pPr>
    <w:rPr>
      <w:rFonts w:ascii="Courier New" w:hAnsi="Courier New"/>
      <w:sz w:val="20"/>
    </w:rPr>
  </w:style>
  <w:style w:styleId="Style_24_ch" w:type="character">
    <w:name w:val="HTML Preformatted"/>
    <w:basedOn w:val="Style_2_ch"/>
    <w:link w:val="Style_24"/>
    <w:rPr>
      <w:rFonts w:ascii="Courier New" w:hAnsi="Courier New"/>
      <w:sz w:val="20"/>
    </w:rPr>
  </w:style>
  <w:style w:styleId="Style_25" w:type="paragraph">
    <w:name w:val="toc 9"/>
    <w:next w:val="Style_2"/>
    <w:link w:val="Style_25_ch"/>
    <w:uiPriority w:val="39"/>
    <w:pPr>
      <w:widowControl w:val="1"/>
      <w:ind w:firstLine="0" w:left="1600"/>
      <w:jc w:val="left"/>
    </w:pPr>
    <w:rPr>
      <w:rFonts w:ascii="XO Thames" w:hAnsi="XO Thames"/>
      <w:sz w:val="28"/>
    </w:rPr>
  </w:style>
  <w:style w:styleId="Style_25_ch" w:type="character">
    <w:name w:val="toc 9"/>
    <w:link w:val="Style_25"/>
    <w:rPr>
      <w:rFonts w:ascii="XO Thames" w:hAnsi="XO Thames"/>
      <w:sz w:val="28"/>
    </w:rPr>
  </w:style>
  <w:style w:styleId="Style_1" w:type="paragraph">
    <w:name w:val="header"/>
    <w:basedOn w:val="Style_2"/>
    <w:link w:val="Style_1_ch"/>
    <w:pPr>
      <w:widowControl w:val="1"/>
      <w:tabs>
        <w:tab w:leader="none" w:pos="4677" w:val="center"/>
        <w:tab w:leader="none" w:pos="9355" w:val="right"/>
      </w:tabs>
      <w:ind/>
    </w:pPr>
  </w:style>
  <w:style w:styleId="Style_1_ch" w:type="character">
    <w:name w:val="header"/>
    <w:basedOn w:val="Style_2_ch"/>
    <w:link w:val="Style_1"/>
  </w:style>
  <w:style w:styleId="Style_26" w:type="paragraph">
    <w:name w:val="toc 8"/>
    <w:next w:val="Style_2"/>
    <w:link w:val="Style_26_ch"/>
    <w:uiPriority w:val="39"/>
    <w:pPr>
      <w:widowControl w:val="1"/>
      <w:ind w:firstLine="0" w:left="1400"/>
      <w:jc w:val="left"/>
    </w:pPr>
    <w:rPr>
      <w:rFonts w:ascii="XO Thames" w:hAnsi="XO Thames"/>
      <w:sz w:val="28"/>
    </w:rPr>
  </w:style>
  <w:style w:styleId="Style_26_ch" w:type="character">
    <w:name w:val="toc 8"/>
    <w:link w:val="Style_26"/>
    <w:rPr>
      <w:rFonts w:ascii="XO Thames" w:hAnsi="XO Thames"/>
      <w:sz w:val="28"/>
    </w:rPr>
  </w:style>
  <w:style w:styleId="Style_27" w:type="paragraph">
    <w:name w:val="Balloon Text"/>
    <w:basedOn w:val="Style_2"/>
    <w:link w:val="Style_27_ch"/>
    <w:pPr>
      <w:widowControl w:val="1"/>
      <w:spacing w:after="0" w:line="240" w:lineRule="auto"/>
      <w:ind/>
    </w:pPr>
    <w:rPr>
      <w:rFonts w:ascii="Tahoma" w:hAnsi="Tahoma"/>
      <w:sz w:val="16"/>
    </w:rPr>
  </w:style>
  <w:style w:styleId="Style_27_ch" w:type="character">
    <w:name w:val="Balloon Text"/>
    <w:basedOn w:val="Style_2_ch"/>
    <w:link w:val="Style_27"/>
    <w:rPr>
      <w:rFonts w:ascii="Tahoma" w:hAnsi="Tahoma"/>
      <w:sz w:val="16"/>
    </w:rPr>
  </w:style>
  <w:style w:styleId="Style_28" w:type="paragraph">
    <w:name w:val="toc 5"/>
    <w:next w:val="Style_2"/>
    <w:link w:val="Style_28_ch"/>
    <w:uiPriority w:val="39"/>
    <w:pPr>
      <w:widowControl w:val="1"/>
      <w:ind w:firstLine="0" w:left="800"/>
      <w:jc w:val="left"/>
    </w:pPr>
    <w:rPr>
      <w:rFonts w:ascii="XO Thames" w:hAnsi="XO Thames"/>
      <w:sz w:val="28"/>
    </w:rPr>
  </w:style>
  <w:style w:styleId="Style_28_ch" w:type="character">
    <w:name w:val="toc 5"/>
    <w:link w:val="Style_28"/>
    <w:rPr>
      <w:rFonts w:ascii="XO Thames" w:hAnsi="XO Thames"/>
      <w:sz w:val="28"/>
    </w:rPr>
  </w:style>
  <w:style w:styleId="Style_29" w:type="paragraph">
    <w:name w:val="Emphasis"/>
    <w:link w:val="Style_29_ch"/>
    <w:rPr>
      <w:i w:val="1"/>
    </w:rPr>
  </w:style>
  <w:style w:styleId="Style_29_ch" w:type="character">
    <w:name w:val="Emphasis"/>
    <w:link w:val="Style_29"/>
    <w:rPr>
      <w:i w:val="1"/>
    </w:rPr>
  </w:style>
  <w:style w:styleId="Style_30" w:type="paragraph">
    <w:name w:val="Subtitle"/>
    <w:next w:val="Style_2"/>
    <w:link w:val="Style_30_ch"/>
    <w:uiPriority w:val="11"/>
    <w:qFormat/>
    <w:pPr>
      <w:widowControl w:val="1"/>
      <w:ind/>
      <w:jc w:val="both"/>
    </w:pPr>
    <w:rPr>
      <w:rFonts w:ascii="XO Thames" w:hAnsi="XO Thames"/>
      <w:i w:val="1"/>
      <w:sz w:val="24"/>
    </w:rPr>
  </w:style>
  <w:style w:styleId="Style_30_ch" w:type="character">
    <w:name w:val="Subtitle"/>
    <w:link w:val="Style_30"/>
    <w:rPr>
      <w:rFonts w:ascii="XO Thames" w:hAnsi="XO Thames"/>
      <w:i w:val="1"/>
      <w:sz w:val="24"/>
    </w:rPr>
  </w:style>
  <w:style w:styleId="Style_31" w:type="paragraph">
    <w:name w:val="ConsPlusNormal"/>
    <w:link w:val="Style_31_ch"/>
    <w:pPr>
      <w:widowControl w:val="0"/>
      <w:ind/>
    </w:pPr>
    <w:rPr>
      <w:sz w:val="22"/>
    </w:rPr>
  </w:style>
  <w:style w:styleId="Style_31_ch" w:type="character">
    <w:name w:val="ConsPlusNormal"/>
    <w:link w:val="Style_31"/>
    <w:rPr>
      <w:sz w:val="22"/>
    </w:rPr>
  </w:style>
  <w:style w:styleId="Style_32" w:type="paragraph">
    <w:name w:val="Title"/>
    <w:next w:val="Style_2"/>
    <w:link w:val="Style_32_ch"/>
    <w:uiPriority w:val="10"/>
    <w:qFormat/>
    <w:pPr>
      <w:widowControl w:val="1"/>
      <w:spacing w:after="567" w:before="567"/>
      <w:ind/>
      <w:jc w:val="center"/>
    </w:pPr>
    <w:rPr>
      <w:rFonts w:ascii="XO Thames" w:hAnsi="XO Thames"/>
      <w:b w:val="1"/>
      <w:caps w:val="1"/>
      <w:sz w:val="40"/>
    </w:rPr>
  </w:style>
  <w:style w:styleId="Style_32_ch" w:type="character">
    <w:name w:val="Title"/>
    <w:link w:val="Style_32"/>
    <w:rPr>
      <w:rFonts w:ascii="XO Thames" w:hAnsi="XO Thames"/>
      <w:b w:val="1"/>
      <w:caps w:val="1"/>
      <w:sz w:val="40"/>
    </w:rPr>
  </w:style>
  <w:style w:styleId="Style_33" w:type="paragraph">
    <w:name w:val="heading 4"/>
    <w:next w:val="Style_2"/>
    <w:link w:val="Style_33_ch"/>
    <w:uiPriority w:val="9"/>
    <w:qFormat/>
    <w:pPr>
      <w:widowControl w:val="1"/>
      <w:spacing w:after="120" w:before="120"/>
      <w:ind/>
      <w:jc w:val="both"/>
      <w:outlineLvl w:val="3"/>
    </w:pPr>
    <w:rPr>
      <w:rFonts w:ascii="XO Thames" w:hAnsi="XO Thames"/>
      <w:b w:val="1"/>
      <w:sz w:val="24"/>
    </w:rPr>
  </w:style>
  <w:style w:styleId="Style_33_ch" w:type="character">
    <w:name w:val="heading 4"/>
    <w:link w:val="Style_33"/>
    <w:rPr>
      <w:rFonts w:ascii="XO Thames" w:hAnsi="XO Thames"/>
      <w:b w:val="1"/>
      <w:sz w:val="24"/>
    </w:rPr>
  </w:style>
  <w:style w:styleId="Style_34" w:type="paragraph">
    <w:name w:val="heading 2"/>
    <w:next w:val="Style_2"/>
    <w:link w:val="Style_34_ch"/>
    <w:uiPriority w:val="9"/>
    <w:qFormat/>
    <w:pPr>
      <w:widowControl w:val="1"/>
      <w:spacing w:after="120" w:before="120"/>
      <w:ind/>
      <w:jc w:val="both"/>
      <w:outlineLvl w:val="1"/>
    </w:pPr>
    <w:rPr>
      <w:rFonts w:ascii="XO Thames" w:hAnsi="XO Thames"/>
      <w:b w:val="1"/>
      <w:sz w:val="28"/>
    </w:rPr>
  </w:style>
  <w:style w:styleId="Style_34_ch" w:type="character">
    <w:name w:val="heading 2"/>
    <w:link w:val="Style_34"/>
    <w:rPr>
      <w:rFonts w:ascii="XO Thames" w:hAnsi="XO Thames"/>
      <w:b w:val="1"/>
      <w:sz w:val="28"/>
    </w:rPr>
  </w:style>
  <w:style w:styleId="Style_35" w:type="paragraph">
    <w:name w:val="r"/>
    <w:basedOn w:val="Style_12"/>
    <w:link w:val="Style_35_ch"/>
  </w:style>
  <w:style w:styleId="Style_35_ch" w:type="character">
    <w:name w:val="r"/>
    <w:basedOn w:val="Style_12_ch"/>
    <w:link w:val="Style_35"/>
  </w:style>
  <w:style w:styleId="Style_36" w:type="table">
    <w:name w:val="Table Grid"/>
    <w:basedOn w:val="Style_37"/>
    <w:tblPr>
      <w:tblBorders>
        <w:top w:color="000000" w:sz="4" w:val="single"/>
        <w:left w:color="000000" w:sz="4" w:val="single"/>
        <w:bottom w:color="000000" w:sz="4" w:val="single"/>
        <w:right w:color="000000" w:sz="4" w:val="single"/>
        <w:insideH w:color="000000" w:sz="4" w:val="single"/>
        <w:insideV w:color="000000" w:sz="4" w:val="single"/>
      </w:tblBorders>
    </w:tblPr>
  </w:style>
  <w:style w:default="1" w:styleId="Style_37"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webSettings.xml" Type="http://schemas.openxmlformats.org/officeDocument/2006/relationships/webSettings"/>
  <Relationship Id="rId1" Target="header1.xml" Type="http://schemas.openxmlformats.org/officeDocument/2006/relationships/header"/>
  <Relationship Id="rId2" Target="fontTable.xml" Type="http://schemas.openxmlformats.org/officeDocument/2006/relationships/fontTable"/>
  <Relationship Id="rId3" Target="settings.xml" Type="http://schemas.openxmlformats.org/officeDocument/2006/relationships/settings"/>
  <Relationship Id="rId4" Target="styles.xml" Type="http://schemas.openxmlformats.org/officeDocument/2006/relationships/styles"/>
  <Relationship Id="rId7" Target="theme/theme1.xml" Type="http://schemas.openxmlformats.org/officeDocument/2006/relationships/theme"/>
  <Relationship Id="rId5" Target="stylesWithEffects.xml" Type="http://schemas.microsoft.com/office/2007/relationships/stylesWithEffect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MyOffice-CoreFramework-Linux/35-1293.911.9787.924.1@276c0809a45ec84ef9eee7a834ac8b6d50e2f01d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2025-07-28T22:51:00Z</dcterms:created>
  <dcterms:modified xsi:type="dcterms:W3CDTF">2026-01-30T13:08:38Z</dcterms:modified>
</cp:coreProperties>
</file>