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1000000">
      <w:pPr>
        <w:widowControl w:val="1"/>
        <w:spacing w:after="0" w:line="240" w:lineRule="auto"/>
        <w:ind w:left="6237"/>
        <w:jc w:val="both"/>
        <w:rPr>
          <w:rFonts w:ascii="Times New Roman" w:hAnsi="Times New Roman"/>
          <w:sz w:val="28"/>
        </w:rPr>
      </w:pPr>
      <w:r>
        <w:rPr>
          <w:rFonts w:ascii="Times New Roman" w:hAnsi="Times New Roman"/>
          <w:sz w:val="28"/>
        </w:rPr>
        <w:t>Вносится д</w:t>
      </w:r>
      <w:r>
        <w:rPr>
          <w:rFonts w:ascii="Times New Roman" w:hAnsi="Times New Roman"/>
          <w:sz w:val="28"/>
        </w:rPr>
        <w:t>епутатами Государственной Думы</w:t>
      </w:r>
    </w:p>
    <w:p w14:paraId="02000000">
      <w:pPr>
        <w:widowControl w:val="1"/>
        <w:spacing w:after="0" w:line="240" w:lineRule="auto"/>
        <w:ind w:left="6237"/>
        <w:jc w:val="both"/>
        <w:rPr>
          <w:rFonts w:ascii="Times New Roman" w:hAnsi="Times New Roman"/>
          <w:sz w:val="28"/>
        </w:rPr>
      </w:pPr>
      <w:r>
        <w:rPr>
          <w:rFonts w:ascii="Times New Roman" w:hAnsi="Times New Roman"/>
          <w:sz w:val="28"/>
        </w:rPr>
        <w:t>Д.Г. Гусевым</w:t>
      </w:r>
    </w:p>
    <w:p w14:paraId="03000000">
      <w:pPr>
        <w:widowControl w:val="1"/>
        <w:spacing w:after="0" w:line="240" w:lineRule="auto"/>
        <w:ind w:left="6237"/>
        <w:jc w:val="both"/>
        <w:rPr>
          <w:rFonts w:ascii="Times New Roman" w:hAnsi="Times New Roman"/>
          <w:sz w:val="28"/>
        </w:rPr>
      </w:pPr>
      <w:r>
        <w:rPr>
          <w:rFonts w:ascii="Times New Roman" w:hAnsi="Times New Roman"/>
          <w:sz w:val="28"/>
        </w:rPr>
        <w:t>Е.Г. Драпеко</w:t>
      </w:r>
    </w:p>
    <w:p w14:paraId="04000000">
      <w:pPr>
        <w:widowControl w:val="1"/>
        <w:spacing w:after="0" w:line="240" w:lineRule="auto"/>
        <w:ind w:left="6237"/>
        <w:jc w:val="both"/>
        <w:rPr>
          <w:rFonts w:ascii="Times New Roman" w:hAnsi="Times New Roman"/>
          <w:sz w:val="28"/>
        </w:rPr>
      </w:pPr>
    </w:p>
    <w:p w14:paraId="05000000">
      <w:pPr>
        <w:widowControl w:val="1"/>
        <w:spacing w:after="0" w:line="240" w:lineRule="auto"/>
        <w:ind w:left="6237"/>
        <w:jc w:val="both"/>
        <w:outlineLvl w:val="0"/>
        <w:rPr>
          <w:rFonts w:ascii="Times New Roman" w:hAnsi="Times New Roman"/>
          <w:sz w:val="28"/>
        </w:rPr>
      </w:pPr>
      <w:bookmarkStart w:id="1" w:name="Par0"/>
      <w:bookmarkEnd w:id="1"/>
      <w:r>
        <w:rPr>
          <w:rFonts w:ascii="Times New Roman" w:hAnsi="Times New Roman"/>
          <w:sz w:val="28"/>
        </w:rPr>
        <w:t>Проект</w:t>
      </w:r>
    </w:p>
    <w:p w14:paraId="06000000">
      <w:pPr>
        <w:widowControl w:val="1"/>
        <w:spacing w:after="0" w:line="240" w:lineRule="auto"/>
        <w:ind/>
        <w:rPr>
          <w:rFonts w:ascii="Times New Roman" w:hAnsi="Times New Roman"/>
          <w:sz w:val="28"/>
        </w:rPr>
      </w:pPr>
    </w:p>
    <w:p w14:paraId="07000000">
      <w:pPr>
        <w:widowControl w:val="1"/>
        <w:spacing w:after="0" w:line="240" w:lineRule="auto"/>
        <w:ind/>
        <w:rPr>
          <w:rFonts w:ascii="Times New Roman" w:hAnsi="Times New Roman"/>
          <w:sz w:val="28"/>
        </w:rPr>
      </w:pPr>
    </w:p>
    <w:p w14:paraId="08000000">
      <w:pPr>
        <w:widowControl w:val="1"/>
        <w:spacing w:after="0" w:line="240" w:lineRule="auto"/>
        <w:ind/>
        <w:rPr>
          <w:rFonts w:ascii="Times New Roman" w:hAnsi="Times New Roman"/>
          <w:sz w:val="28"/>
        </w:rPr>
      </w:pPr>
    </w:p>
    <w:p w14:paraId="09000000">
      <w:pPr>
        <w:widowControl w:val="1"/>
        <w:spacing w:after="0" w:line="240" w:lineRule="auto"/>
        <w:ind/>
        <w:rPr>
          <w:rFonts w:ascii="Times New Roman" w:hAnsi="Times New Roman"/>
          <w:sz w:val="28"/>
        </w:rPr>
      </w:pPr>
    </w:p>
    <w:p w14:paraId="0A000000">
      <w:pPr>
        <w:widowControl w:val="1"/>
        <w:spacing w:after="0" w:line="240" w:lineRule="auto"/>
        <w:ind/>
        <w:jc w:val="center"/>
        <w:rPr>
          <w:rFonts w:ascii="Times New Roman" w:hAnsi="Times New Roman"/>
          <w:b w:val="1"/>
          <w:sz w:val="28"/>
        </w:rPr>
      </w:pPr>
      <w:r>
        <w:rPr>
          <w:rFonts w:ascii="Times New Roman" w:hAnsi="Times New Roman"/>
          <w:b w:val="1"/>
          <w:sz w:val="28"/>
        </w:rPr>
        <w:t>ФЕДЕРАЛЬНЫЙ ЗАКОН</w:t>
      </w:r>
    </w:p>
    <w:p w14:paraId="0B000000">
      <w:pPr>
        <w:widowControl w:val="1"/>
        <w:spacing w:after="0" w:line="240" w:lineRule="auto"/>
        <w:ind/>
        <w:jc w:val="center"/>
        <w:rPr>
          <w:rFonts w:ascii="Times New Roman" w:hAnsi="Times New Roman"/>
          <w:b w:val="1"/>
          <w:sz w:val="28"/>
        </w:rPr>
      </w:pPr>
      <w:r>
        <w:rPr>
          <w:rFonts w:ascii="Times New Roman" w:hAnsi="Times New Roman"/>
          <w:b w:val="1"/>
          <w:sz w:val="28"/>
        </w:rPr>
        <w:t xml:space="preserve">О внесении изменений в </w:t>
      </w:r>
      <w:bookmarkStart w:id="2" w:name="_Hlk214888700"/>
      <w:r>
        <w:rPr>
          <w:rFonts w:ascii="Times New Roman" w:hAnsi="Times New Roman"/>
          <w:b w:val="1"/>
          <w:sz w:val="28"/>
        </w:rPr>
        <w:t>Федеральный закон «</w:t>
      </w:r>
      <w:r>
        <w:rPr>
          <w:rFonts w:ascii="Times New Roman" w:hAnsi="Times New Roman"/>
          <w:b w:val="1"/>
          <w:sz w:val="28"/>
        </w:rPr>
        <w:t xml:space="preserve">О мерах государственной поддержки семей, имеющих детей» (в части погашения обязательств по ипотечным жилищным кредитам (займам) и «О внесении изменений в статью 13.2 Федерального закона </w:t>
      </w:r>
      <w:r>
        <w:rPr>
          <w:rFonts w:ascii="Times New Roman" w:hAnsi="Times New Roman"/>
          <w:b w:val="1"/>
          <w:sz w:val="28"/>
        </w:rPr>
        <w:t>«</w:t>
      </w:r>
      <w:r>
        <w:rPr>
          <w:rFonts w:ascii="Times New Roman" w:hAnsi="Times New Roman"/>
          <w:b w:val="1"/>
          <w:sz w:val="28"/>
        </w:rPr>
        <w:t>Об актах гражданского состояния</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(в </w:t>
      </w:r>
      <w:r>
        <w:rPr>
          <w:rFonts w:ascii="Times New Roman" w:hAnsi="Times New Roman"/>
          <w:b w:val="1"/>
          <w:sz w:val="28"/>
        </w:rPr>
        <w:t>части</w:t>
      </w:r>
      <w:bookmarkEnd w:id="2"/>
      <w:r>
        <w:rPr>
          <w:rFonts w:ascii="Times New Roman" w:hAnsi="Times New Roman"/>
          <w:b w:val="1"/>
          <w:sz w:val="28"/>
        </w:rPr>
        <w:t xml:space="preserve"> </w:t>
      </w:r>
      <w:r>
        <w:rPr>
          <w:rFonts w:ascii="Times New Roman" w:hAnsi="Times New Roman"/>
          <w:b w:val="1"/>
          <w:sz w:val="28"/>
        </w:rPr>
        <w:t>увеличения предельного размера мер государственной поддержки</w:t>
      </w:r>
      <w:r>
        <w:rPr>
          <w:rFonts w:ascii="Times New Roman" w:hAnsi="Times New Roman"/>
          <w:b w:val="1"/>
          <w:sz w:val="28"/>
        </w:rPr>
        <w:t xml:space="preserve"> </w:t>
      </w:r>
      <w:r>
        <w:rPr>
          <w:rFonts w:ascii="Times New Roman" w:hAnsi="Times New Roman"/>
          <w:b w:val="1"/>
          <w:sz w:val="28"/>
        </w:rPr>
        <w:t>семей, имеющих детей, в целях создания условий для погашения обязательств по ипотечным жилищным кредитам (займам</w:t>
      </w:r>
      <w:r>
        <w:rPr>
          <w:rFonts w:ascii="Times New Roman" w:hAnsi="Times New Roman"/>
          <w:b w:val="1"/>
          <w:sz w:val="28"/>
        </w:rPr>
        <w:t>)</w:t>
      </w:r>
    </w:p>
    <w:p w14:paraId="0C000000">
      <w:pPr>
        <w:widowControl w:val="1"/>
        <w:spacing w:after="0" w:line="240" w:lineRule="auto"/>
        <w:ind/>
        <w:jc w:val="center"/>
        <w:rPr>
          <w:rFonts w:ascii="Times New Roman" w:hAnsi="Times New Roman"/>
          <w:sz w:val="28"/>
        </w:rPr>
      </w:pPr>
    </w:p>
    <w:p w14:paraId="0D000000">
      <w:pPr>
        <w:widowControl w:val="1"/>
        <w:spacing w:after="0" w:line="360" w:lineRule="auto"/>
        <w:ind w:firstLine="709"/>
        <w:jc w:val="both"/>
        <w:rPr>
          <w:rFonts w:ascii="Times New Roman" w:hAnsi="Times New Roman"/>
          <w:b w:val="1"/>
          <w:sz w:val="28"/>
        </w:rPr>
      </w:pPr>
      <w:r>
        <w:rPr>
          <w:rFonts w:ascii="Times New Roman" w:hAnsi="Times New Roman"/>
          <w:b w:val="1"/>
          <w:sz w:val="28"/>
        </w:rPr>
        <w:t>Статья 1</w:t>
      </w:r>
    </w:p>
    <w:p w14:paraId="0E000000">
      <w:pPr>
        <w:widowControl w:val="1"/>
        <w:spacing w:after="0" w:line="360" w:lineRule="auto"/>
        <w:ind w:firstLine="709"/>
        <w:jc w:val="both"/>
        <w:rPr>
          <w:rFonts w:ascii="Times New Roman" w:hAnsi="Times New Roman"/>
          <w:sz w:val="28"/>
        </w:rPr>
      </w:pPr>
      <w:r>
        <w:rPr>
          <w:rFonts w:ascii="Times New Roman" w:hAnsi="Times New Roman"/>
          <w:sz w:val="28"/>
        </w:rPr>
        <w:t xml:space="preserve">Внести в статью 1 Федерального закона от 3 июля 2019 года N 157-ФЗ </w:t>
      </w:r>
      <w:r>
        <w:rPr>
          <w:rFonts w:ascii="Times New Roman" w:hAnsi="Times New Roman"/>
          <w:sz w:val="28"/>
        </w:rPr>
        <w:t>«</w:t>
      </w:r>
      <w:r>
        <w:rPr>
          <w:rFonts w:ascii="Times New Roman" w:hAnsi="Times New Roman"/>
          <w:sz w:val="28"/>
        </w:rPr>
        <w:t>О мерах государственной поддержки семей, имеющих детей, в части погашения обязательств по ипотечным жилищным кредитам (займам) и о внесении изменений в статью 13.2 Федерального закона "Об актах гражданского состояния</w:t>
      </w:r>
      <w:r>
        <w:rPr>
          <w:rFonts w:ascii="Times New Roman" w:hAnsi="Times New Roman"/>
          <w:sz w:val="28"/>
        </w:rPr>
        <w:t>»</w:t>
      </w:r>
      <w:r>
        <w:rPr>
          <w:rFonts w:ascii="Times New Roman" w:hAnsi="Times New Roman"/>
          <w:sz w:val="28"/>
        </w:rPr>
        <w:t xml:space="preserve"> (Собрание законодательства Российской Федерации, 2019, N 27, ст. 3522; 2021, N 18, ст. 3062; 2022, N 29, ст. 5322; 2024, N 25, ст. 3401</w:t>
      </w:r>
      <w:r>
        <w:rPr>
          <w:rFonts w:ascii="Times New Roman" w:hAnsi="Times New Roman"/>
          <w:sz w:val="28"/>
        </w:rPr>
        <w:t xml:space="preserve">; 2025, </w:t>
      </w:r>
      <w:r>
        <w:rPr>
          <w:rFonts w:ascii="Times New Roman" w:hAnsi="Times New Roman"/>
          <w:sz w:val="28"/>
        </w:rPr>
        <w:t>N 31, ст. 4707</w:t>
      </w:r>
      <w:r>
        <w:rPr>
          <w:rFonts w:ascii="Times New Roman" w:hAnsi="Times New Roman"/>
          <w:sz w:val="28"/>
        </w:rPr>
        <w:t>) следующие изменения:</w:t>
      </w:r>
    </w:p>
    <w:p w14:paraId="0F000000">
      <w:pPr>
        <w:widowControl w:val="1"/>
        <w:spacing w:after="0" w:line="360" w:lineRule="auto"/>
        <w:ind w:firstLine="709"/>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 xml:space="preserve">Часть </w:t>
      </w:r>
      <w:r>
        <w:rPr>
          <w:rFonts w:ascii="Times New Roman" w:hAnsi="Times New Roman"/>
          <w:sz w:val="28"/>
        </w:rPr>
        <w:t>4</w:t>
      </w:r>
      <w:r>
        <w:rPr>
          <w:rFonts w:ascii="Times New Roman" w:hAnsi="Times New Roman"/>
          <w:sz w:val="28"/>
        </w:rPr>
        <w:t xml:space="preserve"> </w:t>
      </w:r>
      <w:r>
        <w:rPr>
          <w:rFonts w:ascii="Times New Roman" w:hAnsi="Times New Roman"/>
          <w:sz w:val="28"/>
        </w:rPr>
        <w:t>изложить в следующей редакции</w:t>
      </w:r>
      <w:r>
        <w:rPr>
          <w:rFonts w:ascii="Times New Roman" w:hAnsi="Times New Roman"/>
          <w:sz w:val="28"/>
        </w:rPr>
        <w:t>:</w:t>
      </w:r>
    </w:p>
    <w:p w14:paraId="10000000">
      <w:pPr>
        <w:widowControl w:val="1"/>
        <w:spacing w:after="0" w:line="360" w:lineRule="auto"/>
        <w:ind w:firstLine="709"/>
        <w:jc w:val="both"/>
        <w:rPr>
          <w:rFonts w:ascii="Times New Roman" w:hAnsi="Times New Roman"/>
          <w:sz w:val="28"/>
        </w:rPr>
      </w:pPr>
      <w:r>
        <w:rPr>
          <w:rFonts w:ascii="Times New Roman" w:hAnsi="Times New Roman"/>
          <w:sz w:val="28"/>
        </w:rPr>
        <w:t>«</w:t>
      </w:r>
      <w:r>
        <w:rPr>
          <w:rFonts w:ascii="Times New Roman" w:hAnsi="Times New Roman"/>
          <w:sz w:val="28"/>
        </w:rPr>
        <w:t xml:space="preserve">4. Меры государственной поддержки реализуются однократно </w:t>
      </w:r>
      <w:r>
        <w:rPr>
          <w:rFonts w:ascii="Times New Roman" w:hAnsi="Times New Roman"/>
          <w:sz w:val="28"/>
        </w:rPr>
        <w:t>(</w:t>
      </w:r>
      <w:r>
        <w:rPr>
          <w:rFonts w:ascii="Times New Roman" w:hAnsi="Times New Roman"/>
          <w:sz w:val="28"/>
        </w:rPr>
        <w:t>в отношении только одного ипотечного жилищного кредита (займа) и независимо от рождения детей после реализации мер государственной поддержки</w:t>
      </w:r>
      <w:r>
        <w:rPr>
          <w:rFonts w:ascii="Times New Roman" w:hAnsi="Times New Roman"/>
          <w:sz w:val="28"/>
        </w:rPr>
        <w:t>)</w:t>
      </w:r>
      <w:r>
        <w:rPr>
          <w:rFonts w:ascii="Times New Roman" w:hAnsi="Times New Roman"/>
          <w:sz w:val="28"/>
        </w:rPr>
        <w:t xml:space="preserve"> путем полного или частичного погашения обязательств по ипотечному жилищному кредиту (займу) гражданина в размере его задолженности, но не более 6,4 процента от суммы кредита (займа), предоставленного по кредитному договору (договору займа). При этом указанный предельный размер мер государственной поддержки не может составлять менее 550 тысяч рублей. Указанные средства направляются на погашение задолженности по основному долгу, а в случае, если такая </w:t>
      </w:r>
      <w:r>
        <w:rPr>
          <w:rFonts w:ascii="Times New Roman" w:hAnsi="Times New Roman"/>
          <w:sz w:val="28"/>
        </w:rPr>
        <w:t>задолженность меньше установленного настоящей частью предельного размера выплаты, оставшиеся средства направляются на погашение процентов, начисленных за пользование этим кредитом (займом).».</w:t>
      </w:r>
    </w:p>
    <w:p w14:paraId="11000000">
      <w:pPr>
        <w:widowControl w:val="1"/>
        <w:spacing w:after="0" w:line="360" w:lineRule="auto"/>
        <w:ind w:firstLine="709"/>
        <w:jc w:val="both"/>
        <w:rPr>
          <w:rFonts w:ascii="Times New Roman" w:hAnsi="Times New Roman"/>
          <w:sz w:val="28"/>
        </w:rPr>
      </w:pPr>
    </w:p>
    <w:p w14:paraId="12000000">
      <w:pPr>
        <w:widowControl w:val="1"/>
        <w:spacing w:after="0" w:line="360" w:lineRule="auto"/>
        <w:ind w:firstLine="709"/>
        <w:rPr>
          <w:rFonts w:ascii="Times New Roman" w:hAnsi="Times New Roman"/>
          <w:b w:val="1"/>
          <w:sz w:val="28"/>
        </w:rPr>
      </w:pPr>
      <w:r>
        <w:rPr>
          <w:rFonts w:ascii="Times New Roman" w:hAnsi="Times New Roman"/>
          <w:b w:val="1"/>
          <w:sz w:val="28"/>
        </w:rPr>
        <w:t xml:space="preserve">Статья </w:t>
      </w:r>
      <w:r>
        <w:rPr>
          <w:rFonts w:ascii="Times New Roman" w:hAnsi="Times New Roman"/>
          <w:b w:val="1"/>
          <w:sz w:val="28"/>
        </w:rPr>
        <w:t>2</w:t>
      </w:r>
    </w:p>
    <w:p w14:paraId="13000000">
      <w:pPr>
        <w:widowControl w:val="1"/>
        <w:spacing w:after="0" w:line="360" w:lineRule="auto"/>
        <w:ind w:firstLine="709"/>
        <w:jc w:val="both"/>
        <w:rPr>
          <w:rFonts w:ascii="Times New Roman" w:hAnsi="Times New Roman"/>
          <w:sz w:val="28"/>
        </w:rPr>
      </w:pPr>
      <w:r>
        <w:rPr>
          <w:rFonts w:ascii="Times New Roman" w:hAnsi="Times New Roman"/>
          <w:sz w:val="28"/>
        </w:rPr>
        <w:t xml:space="preserve">Настоящий Федеральный закон вступает в силу </w:t>
      </w:r>
      <w:r>
        <w:rPr>
          <w:rFonts w:ascii="Times New Roman" w:hAnsi="Times New Roman"/>
          <w:sz w:val="28"/>
        </w:rPr>
        <w:t>со дня его официального опубликования</w:t>
      </w:r>
      <w:r>
        <w:rPr>
          <w:rFonts w:ascii="Times New Roman" w:hAnsi="Times New Roman"/>
          <w:sz w:val="28"/>
        </w:rPr>
        <w:t>.</w:t>
      </w:r>
    </w:p>
    <w:p w14:paraId="14000000">
      <w:pPr>
        <w:widowControl w:val="1"/>
        <w:spacing w:after="0" w:line="360" w:lineRule="auto"/>
        <w:ind/>
        <w:rPr>
          <w:rFonts w:ascii="Times New Roman" w:hAnsi="Times New Roman"/>
          <w:sz w:val="28"/>
        </w:rPr>
      </w:pPr>
    </w:p>
    <w:p w14:paraId="15000000">
      <w:pPr>
        <w:widowControl w:val="1"/>
        <w:tabs>
          <w:tab w:leader="none" w:pos="1474" w:val="center"/>
        </w:tabs>
        <w:spacing w:after="0" w:line="240" w:lineRule="auto"/>
        <w:ind w:firstLine="709"/>
        <w:rPr>
          <w:rFonts w:ascii="Times New Roman" w:hAnsi="Times New Roman"/>
          <w:sz w:val="28"/>
        </w:rPr>
      </w:pPr>
      <w:r>
        <w:rPr>
          <w:rFonts w:ascii="Times New Roman" w:hAnsi="Times New Roman"/>
          <w:sz w:val="28"/>
        </w:rPr>
        <w:t>Президент</w:t>
      </w:r>
    </w:p>
    <w:p w14:paraId="16000000">
      <w:pPr>
        <w:widowControl w:val="1"/>
        <w:tabs>
          <w:tab w:leader="none" w:pos="1474" w:val="center"/>
        </w:tabs>
        <w:spacing w:after="0" w:line="240" w:lineRule="auto"/>
        <w:ind/>
        <w:rPr>
          <w:rFonts w:ascii="Times New Roman" w:hAnsi="Times New Roman"/>
          <w:sz w:val="28"/>
        </w:rPr>
      </w:pPr>
      <w:r>
        <w:rPr>
          <w:rFonts w:ascii="Times New Roman" w:hAnsi="Times New Roman"/>
          <w:sz w:val="28"/>
        </w:rPr>
        <w:t>Российской Федерации</w:t>
      </w:r>
    </w:p>
    <w:sectPr>
      <w:pgSz w:h="16838" w:orient="portrait" w:w="11906"/>
      <w:pgMar w:bottom="851" w:footer="0" w:gutter="0" w:header="0" w:left="1701" w:right="850" w:top="1134"/>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widowControl w:val="1"/>
        <w:spacing w:after="200" w:before="0" w:line="276"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1" w:type="paragraph">
    <w:name w:val="Normal"/>
    <w:link w:val="Style_1_ch"/>
    <w:uiPriority w:val="0"/>
    <w:qFormat/>
  </w:style>
  <w:style w:default="1" w:styleId="Style_1_ch" w:type="character">
    <w:name w:val="Normal"/>
    <w:link w:val="Style_1"/>
  </w:style>
  <w:style w:styleId="Style_2" w:type="paragraph">
    <w:name w:val="toc 2"/>
    <w:next w:val="Style_1"/>
    <w:link w:val="Style_2_ch"/>
    <w:uiPriority w:val="39"/>
    <w:pPr>
      <w:widowControl w:val="1"/>
      <w:ind w:firstLine="0" w:left="200"/>
      <w:jc w:val="left"/>
    </w:pPr>
    <w:rPr>
      <w:rFonts w:ascii="XO Thames" w:hAnsi="XO Thames"/>
      <w:sz w:val="28"/>
    </w:rPr>
  </w:style>
  <w:style w:styleId="Style_2_ch" w:type="character">
    <w:name w:val="toc 2"/>
    <w:link w:val="Style_2"/>
    <w:rPr>
      <w:rFonts w:ascii="XO Thames" w:hAnsi="XO Thames"/>
      <w:sz w:val="28"/>
    </w:rPr>
  </w:style>
  <w:style w:styleId="Style_3" w:type="paragraph">
    <w:name w:val="Balloon Text"/>
    <w:basedOn w:val="Style_1"/>
    <w:link w:val="Style_3_ch"/>
    <w:pPr>
      <w:widowControl w:val="1"/>
      <w:spacing w:after="0" w:line="240" w:lineRule="auto"/>
      <w:ind/>
    </w:pPr>
    <w:rPr>
      <w:rFonts w:ascii="Tahoma" w:hAnsi="Tahoma"/>
      <w:sz w:val="16"/>
    </w:rPr>
  </w:style>
  <w:style w:styleId="Style_3_ch" w:type="character">
    <w:name w:val="Balloon Text"/>
    <w:basedOn w:val="Style_1_ch"/>
    <w:link w:val="Style_3"/>
    <w:rPr>
      <w:rFonts w:ascii="Tahoma" w:hAnsi="Tahoma"/>
      <w:sz w:val="16"/>
    </w:rPr>
  </w:style>
  <w:style w:styleId="Style_4" w:type="paragraph">
    <w:name w:val="toc 4"/>
    <w:next w:val="Style_1"/>
    <w:link w:val="Style_4_ch"/>
    <w:uiPriority w:val="39"/>
    <w:pPr>
      <w:widowControl w:val="1"/>
      <w:ind w:firstLine="0" w:left="600"/>
      <w:jc w:val="left"/>
    </w:pPr>
    <w:rPr>
      <w:rFonts w:ascii="XO Thames" w:hAnsi="XO Thames"/>
      <w:sz w:val="28"/>
    </w:rPr>
  </w:style>
  <w:style w:styleId="Style_4_ch" w:type="character">
    <w:name w:val="toc 4"/>
    <w:link w:val="Style_4"/>
    <w:rPr>
      <w:rFonts w:ascii="XO Thames" w:hAnsi="XO Thames"/>
      <w:sz w:val="28"/>
    </w:rPr>
  </w:style>
  <w:style w:styleId="Style_5" w:type="paragraph">
    <w:name w:val="toc 6"/>
    <w:next w:val="Style_1"/>
    <w:link w:val="Style_5_ch"/>
    <w:uiPriority w:val="39"/>
    <w:pPr>
      <w:widowControl w:val="1"/>
      <w:ind w:firstLine="0" w:left="1000"/>
      <w:jc w:val="left"/>
    </w:pPr>
    <w:rPr>
      <w:rFonts w:ascii="XO Thames" w:hAnsi="XO Thames"/>
      <w:sz w:val="28"/>
    </w:rPr>
  </w:style>
  <w:style w:styleId="Style_5_ch" w:type="character">
    <w:name w:val="toc 6"/>
    <w:link w:val="Style_5"/>
    <w:rPr>
      <w:rFonts w:ascii="XO Thames" w:hAnsi="XO Thames"/>
      <w:sz w:val="28"/>
    </w:rPr>
  </w:style>
  <w:style w:styleId="Style_6" w:type="paragraph">
    <w:name w:val="toc 7"/>
    <w:next w:val="Style_1"/>
    <w:link w:val="Style_6_ch"/>
    <w:uiPriority w:val="39"/>
    <w:pPr>
      <w:widowControl w:val="1"/>
      <w:ind w:firstLine="0" w:left="1200"/>
      <w:jc w:val="left"/>
    </w:pPr>
    <w:rPr>
      <w:rFonts w:ascii="XO Thames" w:hAnsi="XO Thames"/>
      <w:sz w:val="28"/>
    </w:rPr>
  </w:style>
  <w:style w:styleId="Style_6_ch" w:type="character">
    <w:name w:val="toc 7"/>
    <w:link w:val="Style_6"/>
    <w:rPr>
      <w:rFonts w:ascii="XO Thames" w:hAnsi="XO Thames"/>
      <w:sz w:val="28"/>
    </w:rPr>
  </w:style>
  <w:style w:styleId="Style_7" w:type="paragraph">
    <w:name w:val="Endnote"/>
    <w:link w:val="Style_7_ch"/>
    <w:pPr>
      <w:widowControl w:val="1"/>
      <w:ind w:firstLine="851" w:left="0"/>
      <w:jc w:val="both"/>
    </w:pPr>
    <w:rPr>
      <w:rFonts w:ascii="XO Thames" w:hAnsi="XO Thames"/>
      <w:sz w:val="22"/>
    </w:rPr>
  </w:style>
  <w:style w:styleId="Style_7_ch" w:type="character">
    <w:name w:val="Endnote"/>
    <w:link w:val="Style_7"/>
    <w:rPr>
      <w:rFonts w:ascii="XO Thames" w:hAnsi="XO Thames"/>
      <w:sz w:val="22"/>
    </w:rPr>
  </w:style>
  <w:style w:styleId="Style_8" w:type="paragraph">
    <w:name w:val="heading 3"/>
    <w:next w:val="Style_1"/>
    <w:link w:val="Style_8_ch"/>
    <w:uiPriority w:val="9"/>
    <w:qFormat/>
    <w:pPr>
      <w:widowControl w:val="1"/>
      <w:spacing w:after="120" w:before="120"/>
      <w:ind/>
      <w:jc w:val="both"/>
      <w:outlineLvl w:val="2"/>
    </w:pPr>
    <w:rPr>
      <w:rFonts w:ascii="XO Thames" w:hAnsi="XO Thames"/>
      <w:b w:val="1"/>
      <w:sz w:val="26"/>
    </w:rPr>
  </w:style>
  <w:style w:styleId="Style_8_ch" w:type="character">
    <w:name w:val="heading 3"/>
    <w:link w:val="Style_8"/>
    <w:rPr>
      <w:rFonts w:ascii="XO Thames" w:hAnsi="XO Thames"/>
      <w:b w:val="1"/>
      <w:sz w:val="26"/>
    </w:rPr>
  </w:style>
  <w:style w:styleId="Style_9" w:type="paragraph">
    <w:name w:val="toc 3"/>
    <w:next w:val="Style_1"/>
    <w:link w:val="Style_9_ch"/>
    <w:uiPriority w:val="39"/>
    <w:pPr>
      <w:widowControl w:val="1"/>
      <w:ind w:firstLine="0" w:left="400"/>
      <w:jc w:val="left"/>
    </w:pPr>
    <w:rPr>
      <w:rFonts w:ascii="XO Thames" w:hAnsi="XO Thames"/>
      <w:sz w:val="28"/>
    </w:rPr>
  </w:style>
  <w:style w:styleId="Style_9_ch" w:type="character">
    <w:name w:val="toc 3"/>
    <w:link w:val="Style_9"/>
    <w:rPr>
      <w:rFonts w:ascii="XO Thames" w:hAnsi="XO Thames"/>
      <w:sz w:val="28"/>
    </w:rPr>
  </w:style>
  <w:style w:styleId="Style_10" w:type="paragraph">
    <w:name w:val="heading 5"/>
    <w:next w:val="Style_1"/>
    <w:link w:val="Style_10_ch"/>
    <w:uiPriority w:val="9"/>
    <w:qFormat/>
    <w:pPr>
      <w:widowControl w:val="1"/>
      <w:spacing w:after="120" w:before="120"/>
      <w:ind/>
      <w:jc w:val="both"/>
      <w:outlineLvl w:val="4"/>
    </w:pPr>
    <w:rPr>
      <w:rFonts w:ascii="XO Thames" w:hAnsi="XO Thames"/>
      <w:b w:val="1"/>
      <w:sz w:val="22"/>
    </w:rPr>
  </w:style>
  <w:style w:styleId="Style_10_ch" w:type="character">
    <w:name w:val="heading 5"/>
    <w:link w:val="Style_10"/>
    <w:rPr>
      <w:rFonts w:ascii="XO Thames" w:hAnsi="XO Thames"/>
      <w:b w:val="1"/>
      <w:sz w:val="22"/>
    </w:rPr>
  </w:style>
  <w:style w:styleId="Style_11" w:type="paragraph">
    <w:name w:val="heading 1"/>
    <w:next w:val="Style_1"/>
    <w:link w:val="Style_11_ch"/>
    <w:uiPriority w:val="9"/>
    <w:qFormat/>
    <w:pPr>
      <w:widowControl w:val="1"/>
      <w:spacing w:after="120" w:before="120"/>
      <w:ind/>
      <w:jc w:val="both"/>
      <w:outlineLvl w:val="0"/>
    </w:pPr>
    <w:rPr>
      <w:rFonts w:ascii="XO Thames" w:hAnsi="XO Thames"/>
      <w:b w:val="1"/>
      <w:sz w:val="32"/>
    </w:rPr>
  </w:style>
  <w:style w:styleId="Style_11_ch" w:type="character">
    <w:name w:val="heading 1"/>
    <w:link w:val="Style_11"/>
    <w:rPr>
      <w:rFonts w:ascii="XO Thames" w:hAnsi="XO Thames"/>
      <w:b w:val="1"/>
      <w:sz w:val="32"/>
    </w:rPr>
  </w:style>
  <w:style w:styleId="Style_12" w:type="paragraph">
    <w:name w:val="Hyperlink"/>
    <w:link w:val="Style_12_ch"/>
    <w:rPr>
      <w:color w:val="0000FF"/>
      <w:u w:val="single"/>
    </w:rPr>
  </w:style>
  <w:style w:styleId="Style_12_ch" w:type="character">
    <w:name w:val="Hyperlink"/>
    <w:link w:val="Style_12"/>
    <w:rPr>
      <w:color w:val="0000FF"/>
      <w:u w:val="single"/>
    </w:rPr>
  </w:style>
  <w:style w:styleId="Style_13" w:type="paragraph">
    <w:name w:val="Footnote"/>
    <w:link w:val="Style_13_ch"/>
    <w:pPr>
      <w:widowControl w:val="1"/>
      <w:ind w:firstLine="851" w:left="0"/>
      <w:jc w:val="both"/>
    </w:pPr>
    <w:rPr>
      <w:rFonts w:ascii="XO Thames" w:hAnsi="XO Thames"/>
      <w:sz w:val="22"/>
    </w:rPr>
  </w:style>
  <w:style w:styleId="Style_13_ch" w:type="character">
    <w:name w:val="Footnote"/>
    <w:link w:val="Style_13"/>
    <w:rPr>
      <w:rFonts w:ascii="XO Thames" w:hAnsi="XO Thames"/>
      <w:sz w:val="22"/>
    </w:rPr>
  </w:style>
  <w:style w:styleId="Style_14" w:type="paragraph">
    <w:name w:val="toc 1"/>
    <w:next w:val="Style_1"/>
    <w:link w:val="Style_14_ch"/>
    <w:uiPriority w:val="39"/>
    <w:pPr>
      <w:widowControl w:val="1"/>
      <w:ind w:firstLine="0" w:left="0"/>
      <w:jc w:val="left"/>
    </w:pPr>
    <w:rPr>
      <w:rFonts w:ascii="XO Thames" w:hAnsi="XO Thames"/>
      <w:b w:val="1"/>
      <w:sz w:val="28"/>
    </w:rPr>
  </w:style>
  <w:style w:styleId="Style_14_ch" w:type="character">
    <w:name w:val="toc 1"/>
    <w:link w:val="Style_14"/>
    <w:rPr>
      <w:rFonts w:ascii="XO Thames" w:hAnsi="XO Thames"/>
      <w:b w:val="1"/>
      <w:sz w:val="28"/>
    </w:rPr>
  </w:style>
  <w:style w:styleId="Style_15" w:type="paragraph">
    <w:name w:val="List Paragraph"/>
    <w:basedOn w:val="Style_1"/>
    <w:link w:val="Style_15_ch"/>
    <w:pPr>
      <w:widowControl w:val="1"/>
      <w:ind w:left="720"/>
      <w:contextualSpacing w:val="1"/>
    </w:pPr>
  </w:style>
  <w:style w:styleId="Style_15_ch" w:type="character">
    <w:name w:val="List Paragraph"/>
    <w:basedOn w:val="Style_1_ch"/>
    <w:link w:val="Style_15"/>
  </w:style>
  <w:style w:styleId="Style_16" w:type="paragraph">
    <w:name w:val="Header and Footer"/>
    <w:link w:val="Style_16_ch"/>
    <w:pPr>
      <w:widowControl w:val="1"/>
      <w:spacing w:line="240" w:lineRule="auto"/>
      <w:ind/>
      <w:jc w:val="both"/>
    </w:pPr>
    <w:rPr>
      <w:rFonts w:ascii="XO Thames" w:hAnsi="XO Thames"/>
      <w:sz w:val="28"/>
    </w:rPr>
  </w:style>
  <w:style w:styleId="Style_16_ch" w:type="character">
    <w:name w:val="Header and Footer"/>
    <w:link w:val="Style_16"/>
    <w:rPr>
      <w:rFonts w:ascii="XO Thames" w:hAnsi="XO Thames"/>
      <w:sz w:val="28"/>
    </w:rPr>
  </w:style>
  <w:style w:styleId="Style_17" w:type="paragraph">
    <w:name w:val="Default Paragraph Font"/>
    <w:link w:val="Style_17_ch"/>
  </w:style>
  <w:style w:styleId="Style_17_ch" w:type="character">
    <w:name w:val="Default Paragraph Font"/>
    <w:link w:val="Style_17"/>
  </w:style>
  <w:style w:styleId="Style_18" w:type="paragraph">
    <w:name w:val="toc 9"/>
    <w:next w:val="Style_1"/>
    <w:link w:val="Style_18_ch"/>
    <w:uiPriority w:val="39"/>
    <w:pPr>
      <w:widowControl w:val="1"/>
      <w:ind w:firstLine="0" w:left="1600"/>
      <w:jc w:val="left"/>
    </w:pPr>
    <w:rPr>
      <w:rFonts w:ascii="XO Thames" w:hAnsi="XO Thames"/>
      <w:sz w:val="28"/>
    </w:rPr>
  </w:style>
  <w:style w:styleId="Style_18_ch" w:type="character">
    <w:name w:val="toc 9"/>
    <w:link w:val="Style_18"/>
    <w:rPr>
      <w:rFonts w:ascii="XO Thames" w:hAnsi="XO Thames"/>
      <w:sz w:val="28"/>
    </w:rPr>
  </w:style>
  <w:style w:styleId="Style_19" w:type="paragraph">
    <w:name w:val="toc 8"/>
    <w:next w:val="Style_1"/>
    <w:link w:val="Style_19_ch"/>
    <w:uiPriority w:val="39"/>
    <w:pPr>
      <w:widowControl w:val="1"/>
      <w:ind w:firstLine="0" w:left="1400"/>
      <w:jc w:val="left"/>
    </w:pPr>
    <w:rPr>
      <w:rFonts w:ascii="XO Thames" w:hAnsi="XO Thames"/>
      <w:sz w:val="28"/>
    </w:rPr>
  </w:style>
  <w:style w:styleId="Style_19_ch" w:type="character">
    <w:name w:val="toc 8"/>
    <w:link w:val="Style_19"/>
    <w:rPr>
      <w:rFonts w:ascii="XO Thames" w:hAnsi="XO Thames"/>
      <w:sz w:val="28"/>
    </w:rPr>
  </w:style>
  <w:style w:styleId="Style_20" w:type="paragraph">
    <w:name w:val="toc 5"/>
    <w:next w:val="Style_1"/>
    <w:link w:val="Style_20_ch"/>
    <w:uiPriority w:val="39"/>
    <w:pPr>
      <w:widowControl w:val="1"/>
      <w:ind w:firstLine="0" w:left="800"/>
      <w:jc w:val="left"/>
    </w:pPr>
    <w:rPr>
      <w:rFonts w:ascii="XO Thames" w:hAnsi="XO Thames"/>
      <w:sz w:val="28"/>
    </w:rPr>
  </w:style>
  <w:style w:styleId="Style_20_ch" w:type="character">
    <w:name w:val="toc 5"/>
    <w:link w:val="Style_20"/>
    <w:rPr>
      <w:rFonts w:ascii="XO Thames" w:hAnsi="XO Thames"/>
      <w:sz w:val="28"/>
    </w:rPr>
  </w:style>
  <w:style w:styleId="Style_21" w:type="paragraph">
    <w:name w:val="Subtitle"/>
    <w:next w:val="Style_1"/>
    <w:link w:val="Style_21_ch"/>
    <w:uiPriority w:val="11"/>
    <w:qFormat/>
    <w:pPr>
      <w:widowControl w:val="1"/>
      <w:ind/>
      <w:jc w:val="both"/>
    </w:pPr>
    <w:rPr>
      <w:rFonts w:ascii="XO Thames" w:hAnsi="XO Thames"/>
      <w:i w:val="1"/>
      <w:sz w:val="24"/>
    </w:rPr>
  </w:style>
  <w:style w:styleId="Style_21_ch" w:type="character">
    <w:name w:val="Subtitle"/>
    <w:link w:val="Style_21"/>
    <w:rPr>
      <w:rFonts w:ascii="XO Thames" w:hAnsi="XO Thames"/>
      <w:i w:val="1"/>
      <w:sz w:val="24"/>
    </w:rPr>
  </w:style>
  <w:style w:styleId="Style_22" w:type="paragraph">
    <w:name w:val="Title"/>
    <w:next w:val="Style_1"/>
    <w:link w:val="Style_22_ch"/>
    <w:uiPriority w:val="10"/>
    <w:qFormat/>
    <w:pPr>
      <w:widowControl w:val="1"/>
      <w:spacing w:after="567" w:before="567"/>
      <w:ind/>
      <w:jc w:val="center"/>
    </w:pPr>
    <w:rPr>
      <w:rFonts w:ascii="XO Thames" w:hAnsi="XO Thames"/>
      <w:b w:val="1"/>
      <w:caps w:val="1"/>
      <w:sz w:val="40"/>
    </w:rPr>
  </w:style>
  <w:style w:styleId="Style_22_ch" w:type="character">
    <w:name w:val="Title"/>
    <w:link w:val="Style_22"/>
    <w:rPr>
      <w:rFonts w:ascii="XO Thames" w:hAnsi="XO Thames"/>
      <w:b w:val="1"/>
      <w:caps w:val="1"/>
      <w:sz w:val="40"/>
    </w:rPr>
  </w:style>
  <w:style w:styleId="Style_23" w:type="paragraph">
    <w:name w:val="heading 4"/>
    <w:next w:val="Style_1"/>
    <w:link w:val="Style_23_ch"/>
    <w:uiPriority w:val="9"/>
    <w:qFormat/>
    <w:pPr>
      <w:widowControl w:val="1"/>
      <w:spacing w:after="120" w:before="120"/>
      <w:ind/>
      <w:jc w:val="both"/>
      <w:outlineLvl w:val="3"/>
    </w:pPr>
    <w:rPr>
      <w:rFonts w:ascii="XO Thames" w:hAnsi="XO Thames"/>
      <w:b w:val="1"/>
      <w:sz w:val="24"/>
    </w:rPr>
  </w:style>
  <w:style w:styleId="Style_23_ch" w:type="character">
    <w:name w:val="heading 4"/>
    <w:link w:val="Style_23"/>
    <w:rPr>
      <w:rFonts w:ascii="XO Thames" w:hAnsi="XO Thames"/>
      <w:b w:val="1"/>
      <w:sz w:val="24"/>
    </w:rPr>
  </w:style>
  <w:style w:styleId="Style_24" w:type="paragraph">
    <w:name w:val="heading 2"/>
    <w:next w:val="Style_1"/>
    <w:link w:val="Style_24_ch"/>
    <w:uiPriority w:val="9"/>
    <w:qFormat/>
    <w:pPr>
      <w:widowControl w:val="1"/>
      <w:spacing w:after="120" w:before="120"/>
      <w:ind/>
      <w:jc w:val="both"/>
      <w:outlineLvl w:val="1"/>
    </w:pPr>
    <w:rPr>
      <w:rFonts w:ascii="XO Thames" w:hAnsi="XO Thames"/>
      <w:b w:val="1"/>
      <w:sz w:val="28"/>
    </w:rPr>
  </w:style>
  <w:style w:styleId="Style_24_ch" w:type="character">
    <w:name w:val="heading 2"/>
    <w:link w:val="Style_24"/>
    <w:rPr>
      <w:rFonts w:ascii="XO Thames" w:hAnsi="XO Thames"/>
      <w:b w:val="1"/>
      <w:sz w:val="28"/>
    </w:rPr>
  </w:style>
  <w:style w:default="1" w:styleId="Style_25"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theme/theme1.xml" Type="http://schemas.openxmlformats.org/officeDocument/2006/relationships/theme"/>
  <Relationship Id="rId1" Target="fontTable.xml" Type="http://schemas.openxmlformats.org/officeDocument/2006/relationships/fontTable"/>
  <Relationship Id="rId2" Target="settings.xml" Type="http://schemas.openxmlformats.org/officeDocument/2006/relationships/settings"/>
  <Relationship Id="rId3" Target="styles.xml" Type="http://schemas.openxmlformats.org/officeDocument/2006/relationships/styles"/>
  <Relationship Id="rId4" Target="stylesWithEffects.xml" Type="http://schemas.microsoft.com/office/2007/relationships/stylesWithEffects"/>
  <Relationship Id="rId5" Target="webSettings.xml" Type="http://schemas.openxmlformats.org/officeDocument/2006/relationships/webSetting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MyOffice-CoreFramework-Linux/35-1293.911.9787.924.1@276c0809a45ec84ef9eee7a834ac8b6d50e2f01d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2025-03-25T23:26:00Z</dcterms:created>
  <dcterms:modified xsi:type="dcterms:W3CDTF">2026-01-30T13:24:35Z</dcterms:modified>
</cp:coreProperties>
</file>