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val="center" w:pos="4153"/>
          <w:tab w:val="right" w:pos="8306"/>
        </w:tabs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Утверждено</w:t>
      </w:r>
    </w:p>
    <w:p>
      <w:pPr>
        <w:tabs>
          <w:tab w:val="center" w:pos="4153"/>
          <w:tab w:val="right" w:pos="8306"/>
        </w:tabs>
        <w:jc w:val="right"/>
        <w:rPr>
          <w:rFonts w:eastAsia="Calibri"/>
          <w:sz w:val="24"/>
          <w:szCs w:val="24"/>
        </w:rPr>
      </w:pPr>
      <w:r>
        <w:rPr>
          <w:i/>
          <w:sz w:val="20"/>
          <w:szCs w:val="20"/>
        </w:rPr>
        <w:t>Решением Комитета Государственной Думы</w:t>
      </w:r>
      <w:r>
        <w:rPr>
          <w:i/>
          <w:sz w:val="20"/>
          <w:szCs w:val="20"/>
        </w:rPr>
        <w:br/>
        <w:t>по энергетике № 3.25-5/174 от 11 февраля 2026 года</w:t>
      </w:r>
    </w:p>
    <w:p>
      <w:pPr>
        <w:numPr>
          <w:ilvl w:val="12"/>
          <w:numId w:val="0"/>
        </w:numPr>
        <w:tabs>
          <w:tab w:val="right" w:pos="9639"/>
        </w:tabs>
        <w:overflowPunct w:val="0"/>
        <w:autoSpaceDE w:val="0"/>
        <w:autoSpaceDN w:val="0"/>
        <w:adjustRightInd w:val="0"/>
        <w:ind w:right="-2"/>
        <w:jc w:val="center"/>
        <w:rPr>
          <w:b/>
          <w:bCs/>
        </w:rPr>
      </w:pPr>
    </w:p>
    <w:p>
      <w:pPr>
        <w:numPr>
          <w:ilvl w:val="12"/>
          <w:numId w:val="0"/>
        </w:numPr>
        <w:tabs>
          <w:tab w:val="right" w:pos="9639"/>
        </w:tabs>
        <w:overflowPunct w:val="0"/>
        <w:autoSpaceDE w:val="0"/>
        <w:autoSpaceDN w:val="0"/>
        <w:adjustRightInd w:val="0"/>
        <w:ind w:right="-2"/>
        <w:jc w:val="center"/>
        <w:rPr>
          <w:b/>
          <w:bCs/>
        </w:rPr>
      </w:pPr>
    </w:p>
    <w:p>
      <w:pPr>
        <w:numPr>
          <w:ilvl w:val="12"/>
          <w:numId w:val="0"/>
        </w:numPr>
        <w:tabs>
          <w:tab w:val="right" w:pos="9639"/>
        </w:tabs>
        <w:overflowPunct w:val="0"/>
        <w:autoSpaceDE w:val="0"/>
        <w:autoSpaceDN w:val="0"/>
        <w:adjustRightInd w:val="0"/>
        <w:ind w:right="-2"/>
        <w:jc w:val="center"/>
        <w:rPr>
          <w:b/>
          <w:bCs/>
        </w:rPr>
      </w:pPr>
    </w:p>
    <w:p>
      <w:pPr>
        <w:numPr>
          <w:ilvl w:val="12"/>
          <w:numId w:val="0"/>
        </w:numPr>
        <w:tabs>
          <w:tab w:val="right" w:pos="9639"/>
        </w:tabs>
        <w:overflowPunct w:val="0"/>
        <w:autoSpaceDE w:val="0"/>
        <w:autoSpaceDN w:val="0"/>
        <w:adjustRightInd w:val="0"/>
        <w:ind w:right="-2"/>
        <w:jc w:val="center"/>
        <w:rPr>
          <w:b/>
          <w:bCs/>
        </w:rPr>
      </w:pPr>
    </w:p>
    <w:p>
      <w:pPr>
        <w:jc w:val="center"/>
        <w:rPr>
          <w:b/>
          <w:color w:val="000000"/>
        </w:rPr>
      </w:pPr>
      <w:r>
        <w:rPr>
          <w:b/>
          <w:color w:val="000000"/>
        </w:rPr>
        <w:t>ЗАКЛЮЧЕНИЕ</w:t>
      </w:r>
    </w:p>
    <w:p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Комитета Государственной Думы по энергетике </w:t>
      </w:r>
    </w:p>
    <w:p>
      <w:pPr>
        <w:jc w:val="center"/>
        <w:rPr>
          <w:b/>
        </w:rPr>
      </w:pPr>
      <w:r>
        <w:rPr>
          <w:b/>
          <w:color w:val="000000"/>
        </w:rPr>
        <w:t xml:space="preserve">по </w:t>
      </w:r>
      <w:r>
        <w:rPr>
          <w:b/>
        </w:rPr>
        <w:t>проекту федерального закона № 1137011-8</w:t>
      </w:r>
    </w:p>
    <w:p>
      <w:pPr>
        <w:jc w:val="center"/>
        <w:rPr>
          <w:b/>
        </w:rPr>
      </w:pPr>
      <w:r>
        <w:rPr>
          <w:b/>
        </w:rPr>
        <w:t xml:space="preserve"> «О внесении изменений в отдельные законодательные акты Российской Федерации» </w:t>
      </w:r>
    </w:p>
    <w:p>
      <w:pPr>
        <w:jc w:val="center"/>
        <w:rPr>
          <w:b/>
        </w:rPr>
      </w:pPr>
    </w:p>
    <w:p>
      <w:pPr>
        <w:jc w:val="center"/>
        <w:rPr>
          <w:color w:val="000000" w:themeColor="text1"/>
        </w:rPr>
      </w:pPr>
      <w:r>
        <w:rPr>
          <w:color w:val="000000" w:themeColor="text1"/>
        </w:rPr>
        <w:t>(</w:t>
      </w:r>
      <w:r>
        <w:rPr>
          <w:color w:val="000000" w:themeColor="text1"/>
          <w:spacing w:val="2"/>
          <w:shd w:val="clear" w:color="auto" w:fill="FFFFFF"/>
          <w:lang w:eastAsia="zh-CN"/>
        </w:rPr>
        <w:t>в части повышения антитеррористической защищенности и усиления охраны объектов критической инфраструктуры</w:t>
      </w:r>
      <w:r>
        <w:rPr>
          <w:color w:val="000000" w:themeColor="text1"/>
        </w:rPr>
        <w:t>)</w:t>
      </w:r>
    </w:p>
    <w:p>
      <w:pPr>
        <w:spacing w:line="360" w:lineRule="auto"/>
        <w:jc w:val="center"/>
      </w:pPr>
      <w:r>
        <w:t xml:space="preserve"> </w:t>
      </w:r>
    </w:p>
    <w:p>
      <w:pPr>
        <w:tabs>
          <w:tab w:val="right" w:pos="9639"/>
        </w:tabs>
        <w:spacing w:line="360" w:lineRule="auto"/>
        <w:ind w:firstLine="709"/>
        <w:jc w:val="both"/>
        <w:rPr>
          <w:rFonts w:ascii="Roboto Condensed" w:eastAsia="Calibri" w:hAnsi="Roboto Condensed"/>
          <w:spacing w:val="2"/>
          <w:shd w:val="clear" w:color="auto" w:fill="FFFFFF"/>
          <w:lang w:eastAsia="en-US"/>
        </w:rPr>
      </w:pPr>
      <w:proofErr w:type="gramStart"/>
      <w:r>
        <w:rPr>
          <w:color w:val="000000"/>
        </w:rPr>
        <w:t>Рассмотрев проект федерального</w:t>
      </w:r>
      <w:r>
        <w:t xml:space="preserve"> закона № 1137011-8 «О внесении изменений в отдельные законодательные акты Российской Федерации»         </w:t>
      </w:r>
      <w:r>
        <w:t xml:space="preserve">    </w:t>
      </w:r>
      <w:r>
        <w:t xml:space="preserve">  (</w:t>
      </w:r>
      <w:r>
        <w:rPr>
          <w:color w:val="000000" w:themeColor="text1"/>
          <w:spacing w:val="2"/>
          <w:shd w:val="clear" w:color="auto" w:fill="FFFFFF"/>
          <w:lang w:eastAsia="zh-CN"/>
        </w:rPr>
        <w:t>в части повышения антитеррористической защищенности и усиления охраны объектов критической инфраструктуры</w:t>
      </w:r>
      <w:r>
        <w:t>)</w:t>
      </w:r>
      <w:r>
        <w:rPr>
          <w:rFonts w:ascii="Roboto Condensed" w:eastAsia="Calibri" w:hAnsi="Roboto Condensed"/>
          <w:spacing w:val="2"/>
          <w:shd w:val="clear" w:color="auto" w:fill="FFFFFF"/>
          <w:lang w:eastAsia="en-US"/>
        </w:rPr>
        <w:t xml:space="preserve"> (далее – Законопроект)</w:t>
      </w:r>
      <w:r>
        <w:rPr>
          <w:color w:val="000000"/>
          <w:lang w:eastAsia="ar-SA"/>
        </w:rPr>
        <w:t>, внесенный</w:t>
      </w:r>
      <w:r>
        <w:t xml:space="preserve"> депутатами Государственной Думы </w:t>
      </w:r>
      <w:proofErr w:type="spellStart"/>
      <w:r>
        <w:t>В.И.Пискаревым</w:t>
      </w:r>
      <w:proofErr w:type="spellEnd"/>
      <w:r>
        <w:t xml:space="preserve">, </w:t>
      </w:r>
      <w:proofErr w:type="spellStart"/>
      <w:r>
        <w:t>Р.А.Азимовым</w:t>
      </w:r>
      <w:proofErr w:type="spellEnd"/>
      <w:r>
        <w:t xml:space="preserve">, </w:t>
      </w:r>
      <w:proofErr w:type="spellStart"/>
      <w:r>
        <w:t>Э.А.Валеевым</w:t>
      </w:r>
      <w:proofErr w:type="spellEnd"/>
      <w:r>
        <w:t xml:space="preserve">, </w:t>
      </w:r>
      <w:proofErr w:type="spellStart"/>
      <w:r>
        <w:t>А.Б.Выборным</w:t>
      </w:r>
      <w:proofErr w:type="spellEnd"/>
      <w:r>
        <w:t xml:space="preserve">, </w:t>
      </w:r>
      <w:proofErr w:type="spellStart"/>
      <w:r>
        <w:t>А.Г.Альшевских</w:t>
      </w:r>
      <w:proofErr w:type="spellEnd"/>
      <w:r>
        <w:t xml:space="preserve">, </w:t>
      </w:r>
      <w:proofErr w:type="spellStart"/>
      <w:r>
        <w:t>Б.А.Барахоевым</w:t>
      </w:r>
      <w:proofErr w:type="spellEnd"/>
      <w:r>
        <w:t xml:space="preserve">, </w:t>
      </w:r>
      <w:proofErr w:type="spellStart"/>
      <w:r>
        <w:t>Д.З.Гильмутдиновым</w:t>
      </w:r>
      <w:proofErr w:type="spellEnd"/>
      <w:r>
        <w:t xml:space="preserve">, </w:t>
      </w:r>
      <w:proofErr w:type="spellStart"/>
      <w:r>
        <w:t>Н.Г.Шульгиновым</w:t>
      </w:r>
      <w:proofErr w:type="spellEnd"/>
      <w:r>
        <w:t xml:space="preserve">, </w:t>
      </w:r>
      <w:proofErr w:type="spellStart"/>
      <w:r>
        <w:t>Ю.А.Станкевичем</w:t>
      </w:r>
      <w:proofErr w:type="spellEnd"/>
      <w:r>
        <w:rPr>
          <w:color w:val="000000"/>
          <w:lang w:eastAsia="ar-SA"/>
        </w:rPr>
        <w:t>, Комитет Государственной</w:t>
      </w:r>
      <w:proofErr w:type="gramEnd"/>
      <w:r>
        <w:rPr>
          <w:color w:val="000000"/>
          <w:lang w:eastAsia="ar-SA"/>
        </w:rPr>
        <w:t xml:space="preserve"> Думы по энергетике </w:t>
      </w:r>
      <w:r>
        <w:rPr>
          <w:color w:val="000000"/>
        </w:rPr>
        <w:t>(далее – Комитет),</w:t>
      </w:r>
      <w:r>
        <w:rPr>
          <w:color w:val="000000"/>
          <w:lang w:eastAsia="ar-SA"/>
        </w:rPr>
        <w:t xml:space="preserve"> являющийся соисполнителем по Законопроекту, отмечает следующее.</w:t>
      </w:r>
    </w:p>
    <w:p>
      <w:pPr>
        <w:suppressAutoHyphens/>
        <w:autoSpaceDE w:val="0"/>
        <w:spacing w:line="360" w:lineRule="auto"/>
        <w:ind w:firstLine="709"/>
        <w:jc w:val="both"/>
        <w:rPr>
          <w:bCs/>
          <w:lang w:eastAsia="zh-CN"/>
        </w:rPr>
      </w:pPr>
      <w:r>
        <w:rPr>
          <w:bCs/>
          <w:lang w:eastAsia="zh-CN"/>
        </w:rPr>
        <w:t>Законопроект разработан в целях усиления эффективности физической охраны объектов ТЭК и совершенствования правового регулирования обеспечения частных охранных организаций</w:t>
      </w:r>
      <w:r>
        <w:rPr>
          <w:bCs/>
          <w:lang w:eastAsia="zh-CN"/>
        </w:rPr>
        <w:t xml:space="preserve"> </w:t>
      </w:r>
      <w:r>
        <w:rPr>
          <w:bCs/>
          <w:lang w:eastAsia="zh-CN"/>
        </w:rPr>
        <w:t>и их сотрудников (далее – ЧОО, частные охранники соответственно) боевым стрелковым оружием (далее – боевое оружие).</w:t>
      </w:r>
    </w:p>
    <w:p>
      <w:pPr>
        <w:suppressAutoHyphens/>
        <w:autoSpaceDE w:val="0"/>
        <w:spacing w:line="360" w:lineRule="auto"/>
        <w:ind w:firstLine="709"/>
        <w:jc w:val="both"/>
        <w:rPr>
          <w:bCs/>
          <w:lang w:eastAsia="zh-CN"/>
        </w:rPr>
      </w:pPr>
      <w:r>
        <w:rPr>
          <w:bCs/>
          <w:lang w:eastAsia="zh-CN"/>
        </w:rPr>
        <w:t>В пояснительной записке указано, что только с начала 2024 года</w:t>
      </w:r>
      <w:r>
        <w:rPr>
          <w:bCs/>
          <w:lang w:eastAsia="zh-CN"/>
        </w:rPr>
        <w:t xml:space="preserve">                   </w:t>
      </w:r>
      <w:r>
        <w:rPr>
          <w:bCs/>
          <w:lang w:eastAsia="zh-CN"/>
        </w:rPr>
        <w:t xml:space="preserve">и по настоящее время совершено более 920 актов незаконного вмешательства </w:t>
      </w:r>
      <w:r>
        <w:rPr>
          <w:bCs/>
          <w:lang w:eastAsia="zh-CN"/>
        </w:rPr>
        <w:t xml:space="preserve">           </w:t>
      </w:r>
      <w:r>
        <w:rPr>
          <w:bCs/>
          <w:lang w:eastAsia="zh-CN"/>
        </w:rPr>
        <w:t>в отношении объектов ТЭК с использованием (применением) беспилотных воздушных судов.</w:t>
      </w:r>
    </w:p>
    <w:p>
      <w:pPr>
        <w:suppressAutoHyphens/>
        <w:autoSpaceDE w:val="0"/>
        <w:spacing w:line="360" w:lineRule="auto"/>
        <w:ind w:firstLine="709"/>
        <w:jc w:val="both"/>
        <w:rPr>
          <w:bCs/>
          <w:lang w:eastAsia="zh-CN"/>
        </w:rPr>
      </w:pPr>
      <w:r>
        <w:rPr>
          <w:bCs/>
          <w:lang w:eastAsia="zh-CN"/>
        </w:rPr>
        <w:t xml:space="preserve">В предлагаемой редакции Законопроекта предполагается существенное расширение функций ЧОО и оснащение их сотрудников оружием больших </w:t>
      </w:r>
      <w:r>
        <w:rPr>
          <w:bCs/>
          <w:lang w:eastAsia="zh-CN"/>
        </w:rPr>
        <w:lastRenderedPageBreak/>
        <w:t>калибров и дальности действия (крупнокалиберных скорострельных комплексов (установок), крупнокалиберных пулеметов и автоматического длинноствольного стрелкового оружия).</w:t>
      </w:r>
    </w:p>
    <w:p>
      <w:pPr>
        <w:spacing w:line="360" w:lineRule="auto"/>
        <w:ind w:firstLine="709"/>
        <w:jc w:val="both"/>
        <w:rPr>
          <w:lang w:eastAsia="zh-CN"/>
        </w:rPr>
      </w:pPr>
      <w:r>
        <w:rPr>
          <w:lang w:eastAsia="zh-CN"/>
        </w:rPr>
        <w:t xml:space="preserve">При этом проектируется, что получение боевого оружия осуществляется в территориальных органах Росгвардии только определенными видами ЧОО, </w:t>
      </w:r>
      <w:r>
        <w:rPr>
          <w:lang w:eastAsia="zh-CN"/>
        </w:rPr>
        <w:t xml:space="preserve">              </w:t>
      </w:r>
      <w:r>
        <w:rPr>
          <w:lang w:eastAsia="zh-CN"/>
        </w:rPr>
        <w:t xml:space="preserve">к которым отнесены, например,  ЧОО, право </w:t>
      </w:r>
      <w:proofErr w:type="gramStart"/>
      <w:r>
        <w:rPr>
          <w:lang w:eastAsia="zh-CN"/>
        </w:rPr>
        <w:t>учреждения</w:t>
      </w:r>
      <w:proofErr w:type="gramEnd"/>
      <w:r>
        <w:rPr>
          <w:lang w:eastAsia="zh-CN"/>
        </w:rPr>
        <w:t xml:space="preserve"> которых по решению Правительства Российской Федерации предоставлено субъектам топливно-энергетического комплекса, стратегическим предприятиям или стратегическим акционерным обществам, субъектам естественных монополий, государственным корпорациям или государственным компаниям, осуществляющим охрану указанных объектов, и др.</w:t>
      </w:r>
    </w:p>
    <w:p>
      <w:pPr>
        <w:suppressAutoHyphens/>
        <w:autoSpaceDE w:val="0"/>
        <w:spacing w:line="360" w:lineRule="auto"/>
        <w:ind w:firstLine="709"/>
        <w:jc w:val="both"/>
        <w:rPr>
          <w:bCs/>
          <w:lang w:eastAsia="zh-CN"/>
        </w:rPr>
      </w:pPr>
      <w:proofErr w:type="gramStart"/>
      <w:r>
        <w:rPr>
          <w:bCs/>
          <w:lang w:eastAsia="zh-CN"/>
        </w:rPr>
        <w:t xml:space="preserve">В настоящее время в соответствии с частью 1 статьи                                  12 Федерального закона от 13 декабря 1996 г. № 150-ФЗ «Об оружии» частные охранные организации имеют право приобретать служебное огнестрельное оружие ограниченного поражения, гражданское оружие самообороны, </w:t>
      </w:r>
      <w:r>
        <w:rPr>
          <w:bCs/>
          <w:lang w:eastAsia="zh-CN"/>
        </w:rPr>
        <w:t xml:space="preserve">                      </w:t>
      </w:r>
      <w:r>
        <w:rPr>
          <w:bCs/>
          <w:lang w:eastAsia="zh-CN"/>
        </w:rPr>
        <w:t xml:space="preserve">за исключением огнестрельного гладкоствольного длинноствольного оружия, </w:t>
      </w:r>
      <w:r>
        <w:rPr>
          <w:bCs/>
          <w:lang w:eastAsia="zh-CN"/>
        </w:rPr>
        <w:t xml:space="preserve">             </w:t>
      </w:r>
      <w:r>
        <w:rPr>
          <w:bCs/>
          <w:lang w:eastAsia="zh-CN"/>
        </w:rPr>
        <w:t>а также получать в территориальных органах Росгвардии во временное пользование служебное оружие в порядке, установленном Правительством Российской Федерации.</w:t>
      </w:r>
      <w:proofErr w:type="gramEnd"/>
    </w:p>
    <w:p>
      <w:pPr>
        <w:suppressAutoHyphens/>
        <w:autoSpaceDE w:val="0"/>
        <w:spacing w:line="360" w:lineRule="auto"/>
        <w:ind w:firstLine="709"/>
        <w:jc w:val="both"/>
        <w:rPr>
          <w:bCs/>
          <w:lang w:eastAsia="zh-CN"/>
        </w:rPr>
      </w:pPr>
      <w:r>
        <w:rPr>
          <w:bCs/>
          <w:lang w:eastAsia="zh-CN"/>
        </w:rPr>
        <w:t>Однако указанные типы оружия зачастую не позволяют соразмерно  противодействовать угрозам безопасности охраняемых объектов ТЭК, вследствие чего усматривается необходимость в расширении перечня типов используемого оружия ЧОО.</w:t>
      </w:r>
    </w:p>
    <w:p>
      <w:pPr>
        <w:suppressAutoHyphens/>
        <w:spacing w:line="360" w:lineRule="auto"/>
        <w:ind w:firstLine="709"/>
        <w:jc w:val="both"/>
      </w:pPr>
      <w:proofErr w:type="gramStart"/>
      <w:r>
        <w:t xml:space="preserve">Также Комитет отмечает, что принимая во внимание текущую напряженную обстановку в сфере обеспечения безопасности критически важных морских объектов ТЭК (с установленными зонами безопасности </w:t>
      </w:r>
      <w:r>
        <w:t xml:space="preserve">                </w:t>
      </w:r>
      <w:r>
        <w:t xml:space="preserve">500 метров вокруг от объекта), объектов ТЭК, расположенных в границах объектов транспортной инфраструктуры морского и речного транспорта (нефтеналивные, СПГ и т.д. терминалы), стоит учитывать, что за рамками </w:t>
      </w:r>
      <w:r>
        <w:lastRenderedPageBreak/>
        <w:t>данного законопроекта остались вопросы обеспечения указанным оружием сотрудников подразделений</w:t>
      </w:r>
      <w:proofErr w:type="gramEnd"/>
      <w:r>
        <w:t xml:space="preserve"> транспортной безопасности.</w:t>
      </w:r>
    </w:p>
    <w:p>
      <w:pPr>
        <w:suppressAutoHyphens/>
        <w:spacing w:line="360" w:lineRule="auto"/>
        <w:ind w:firstLine="709"/>
        <w:jc w:val="both"/>
      </w:pPr>
      <w:r>
        <w:t xml:space="preserve">На основании вышеизложенного Комитет Государственной Думы    </w:t>
      </w:r>
      <w:r>
        <w:t xml:space="preserve">                </w:t>
      </w:r>
      <w:r>
        <w:t xml:space="preserve">по энергетике поддерживает концепцию проекта федерального закона               № 1137011-8 «О внесении изменений в отдельные законодательные акты Российской </w:t>
      </w:r>
      <w:r>
        <w:t>Федерации</w:t>
      </w:r>
      <w:bookmarkStart w:id="0" w:name="_GoBack"/>
      <w:bookmarkEnd w:id="0"/>
      <w:r>
        <w:t>» (</w:t>
      </w:r>
      <w:r>
        <w:rPr>
          <w:color w:val="000000" w:themeColor="text1"/>
          <w:spacing w:val="2"/>
          <w:shd w:val="clear" w:color="auto" w:fill="FFFFFF"/>
          <w:lang w:eastAsia="zh-CN"/>
        </w:rPr>
        <w:t>в части повышения антитеррористической защищенности и усиления охраны объектов критической инфраструктуры</w:t>
      </w:r>
      <w:r>
        <w:t xml:space="preserve">) </w:t>
      </w:r>
      <w:r>
        <w:t xml:space="preserve">                </w:t>
      </w:r>
      <w:r>
        <w:t xml:space="preserve">и рекомендует Государственной Думе принять его в первом чтении. </w:t>
      </w:r>
    </w:p>
    <w:p>
      <w:pPr>
        <w:suppressAutoHyphens/>
        <w:spacing w:line="360" w:lineRule="auto"/>
        <w:ind w:firstLine="709"/>
        <w:jc w:val="both"/>
      </w:pPr>
    </w:p>
    <w:p>
      <w:pPr>
        <w:suppressAutoHyphens/>
        <w:spacing w:line="360" w:lineRule="auto"/>
        <w:jc w:val="both"/>
      </w:pPr>
      <w:r>
        <w:t xml:space="preserve">Председатель Комитета                                                          </w:t>
      </w:r>
      <w:r>
        <w:t xml:space="preserve">          </w:t>
      </w:r>
      <w:r>
        <w:t xml:space="preserve">  Н.Г.Шульгинов</w:t>
      </w: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</w:pPr>
    </w:p>
    <w:p>
      <w:pPr>
        <w:suppressAutoHyphens/>
        <w:spacing w:line="360" w:lineRule="auto"/>
        <w:jc w:val="both"/>
        <w:rPr>
          <w:sz w:val="16"/>
          <w:szCs w:val="16"/>
        </w:rPr>
      </w:pPr>
    </w:p>
    <w:p>
      <w:pPr>
        <w:suppressAutoHyphens/>
        <w:spacing w:line="360" w:lineRule="auto"/>
        <w:jc w:val="both"/>
        <w:rPr>
          <w:b/>
          <w:bCs/>
        </w:rPr>
      </w:pPr>
      <w:proofErr w:type="spellStart"/>
      <w:r>
        <w:rPr>
          <w:sz w:val="16"/>
          <w:szCs w:val="16"/>
        </w:rPr>
        <w:t>Е.В..Фадеева</w:t>
      </w:r>
      <w:proofErr w:type="spellEnd"/>
      <w:r>
        <w:rPr>
          <w:sz w:val="16"/>
          <w:szCs w:val="16"/>
        </w:rPr>
        <w:t>, 8(495) 692-64-28</w:t>
      </w:r>
    </w:p>
    <w:sectPr>
      <w:headerReference w:type="default" r:id="rId9"/>
      <w:pgSz w:w="11906" w:h="16838"/>
      <w:pgMar w:top="1134" w:right="851" w:bottom="1134" w:left="1418" w:header="318" w:footer="709" w:gutter="0"/>
      <w:cols w:space="708"/>
      <w:titlePg/>
      <w:docGrid w:linePitch="381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3CAAD8C" w15:done="0"/>
  <w15:commentEx w15:paraId="31709B44" w15:done="0"/>
  <w15:commentEx w15:paraId="48015D83" w15:done="0"/>
  <w15:commentEx w15:paraId="20F9EF11" w15:done="0"/>
  <w15:commentEx w15:paraId="776D5450" w15:done="0"/>
  <w15:commentEx w15:paraId="1747931E" w15:done="0"/>
  <w15:commentEx w15:paraId="374EFEDB" w15:done="0"/>
  <w15:commentEx w15:paraId="38486637" w15:done="0"/>
  <w15:commentEx w15:paraId="3D18A134" w15:done="0"/>
  <w15:commentEx w15:paraId="052C8CF5" w15:done="0"/>
  <w15:commentEx w15:paraId="13309144" w15:done="0"/>
  <w15:commentEx w15:paraId="7F97D5C8" w15:done="0"/>
  <w15:commentEx w15:paraId="1E07ED8D" w15:done="0"/>
  <w15:commentEx w15:paraId="255EF1D4" w15:done="0"/>
  <w15:commentEx w15:paraId="20919BD2" w15:done="0"/>
  <w15:commentEx w15:paraId="27DD0759" w15:done="0"/>
  <w15:commentEx w15:paraId="6D72B277" w15:done="0"/>
  <w15:commentEx w15:paraId="6C4D7E0C" w15:done="0"/>
  <w15:commentEx w15:paraId="27C3B14C" w15:done="0"/>
  <w15:commentEx w15:paraId="42A03CCD" w15:done="0"/>
  <w15:commentEx w15:paraId="4779980E" w15:done="0"/>
  <w15:commentEx w15:paraId="5205772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-117611429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7FCF"/>
    <w:multiLevelType w:val="hybridMultilevel"/>
    <w:tmpl w:val="77E28F82"/>
    <w:lvl w:ilvl="0" w:tplc="FC723C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1A66CC8"/>
    <w:multiLevelType w:val="hybridMultilevel"/>
    <w:tmpl w:val="9D763864"/>
    <w:lvl w:ilvl="0" w:tplc="E9D418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CD21C0"/>
    <w:multiLevelType w:val="hybridMultilevel"/>
    <w:tmpl w:val="98824084"/>
    <w:lvl w:ilvl="0" w:tplc="568C91CC">
      <w:start w:val="1"/>
      <w:numFmt w:val="decimal"/>
      <w:lvlText w:val="%1."/>
      <w:lvlJc w:val="left"/>
      <w:pPr>
        <w:ind w:left="1429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48E7D91"/>
    <w:multiLevelType w:val="multilevel"/>
    <w:tmpl w:val="C5E68DF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09B8090E"/>
    <w:multiLevelType w:val="hybridMultilevel"/>
    <w:tmpl w:val="7222229E"/>
    <w:lvl w:ilvl="0" w:tplc="6DAE3F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A3C5AF3"/>
    <w:multiLevelType w:val="hybridMultilevel"/>
    <w:tmpl w:val="54DCCBB4"/>
    <w:lvl w:ilvl="0" w:tplc="6B5663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0D72E96"/>
    <w:multiLevelType w:val="multilevel"/>
    <w:tmpl w:val="1D9AF478"/>
    <w:styleLink w:val="1"/>
    <w:lvl w:ilvl="0">
      <w:start w:val="1"/>
      <w:numFmt w:val="decimal"/>
      <w:lvlText w:val="%1."/>
      <w:lvlJc w:val="left"/>
      <w:pPr>
        <w:tabs>
          <w:tab w:val="num" w:pos="994"/>
        </w:tabs>
        <w:ind w:left="274" w:firstLine="44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785" w:hanging="15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16"/>
        </w:tabs>
        <w:ind w:left="785" w:hanging="15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416"/>
        </w:tabs>
        <w:ind w:left="785" w:hanging="15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85" w:hanging="15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85" w:hanging="15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785" w:hanging="15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785" w:hanging="15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785" w:hanging="15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7">
    <w:nsid w:val="12642F00"/>
    <w:multiLevelType w:val="hybridMultilevel"/>
    <w:tmpl w:val="8668D90A"/>
    <w:lvl w:ilvl="0" w:tplc="CDB8CC0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C53F0E"/>
    <w:multiLevelType w:val="multilevel"/>
    <w:tmpl w:val="5874ACE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C0644A3"/>
    <w:multiLevelType w:val="multilevel"/>
    <w:tmpl w:val="B58EA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19F04CB"/>
    <w:multiLevelType w:val="hybridMultilevel"/>
    <w:tmpl w:val="FC54D312"/>
    <w:lvl w:ilvl="0" w:tplc="6024D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584E72"/>
    <w:multiLevelType w:val="multilevel"/>
    <w:tmpl w:val="A5A8C1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29" w:hanging="4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sz w:val="28"/>
      </w:rPr>
    </w:lvl>
  </w:abstractNum>
  <w:abstractNum w:abstractNumId="12">
    <w:nsid w:val="251E2FD1"/>
    <w:multiLevelType w:val="multilevel"/>
    <w:tmpl w:val="8F88D27A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B17E67"/>
    <w:multiLevelType w:val="hybridMultilevel"/>
    <w:tmpl w:val="D4880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FA6A42"/>
    <w:multiLevelType w:val="hybridMultilevel"/>
    <w:tmpl w:val="1CE6074C"/>
    <w:lvl w:ilvl="0" w:tplc="34503E80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2B9B222D"/>
    <w:multiLevelType w:val="hybridMultilevel"/>
    <w:tmpl w:val="693A3E4A"/>
    <w:lvl w:ilvl="0" w:tplc="FD4ABE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3C9660B"/>
    <w:multiLevelType w:val="hybridMultilevel"/>
    <w:tmpl w:val="06A8C7FA"/>
    <w:lvl w:ilvl="0" w:tplc="6024D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473660"/>
    <w:multiLevelType w:val="hybridMultilevel"/>
    <w:tmpl w:val="87F4FAFA"/>
    <w:lvl w:ilvl="0" w:tplc="E4762DF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9424DE5"/>
    <w:multiLevelType w:val="hybridMultilevel"/>
    <w:tmpl w:val="4644262A"/>
    <w:lvl w:ilvl="0" w:tplc="79E84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B6E2B2A"/>
    <w:multiLevelType w:val="multilevel"/>
    <w:tmpl w:val="7048F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54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908" w:hanging="720"/>
      </w:pPr>
    </w:lvl>
    <w:lvl w:ilvl="3">
      <w:start w:val="1"/>
      <w:numFmt w:val="decimal"/>
      <w:lvlText w:val="%1.%2.%3.%4."/>
      <w:lvlJc w:val="left"/>
      <w:pPr>
        <w:ind w:left="1002" w:hanging="720"/>
      </w:pPr>
    </w:lvl>
    <w:lvl w:ilvl="4">
      <w:start w:val="1"/>
      <w:numFmt w:val="decimal"/>
      <w:lvlText w:val="%1.%2.%3.%4.%5."/>
      <w:lvlJc w:val="left"/>
      <w:pPr>
        <w:ind w:left="1456" w:hanging="1080"/>
      </w:pPr>
    </w:lvl>
    <w:lvl w:ilvl="5">
      <w:start w:val="1"/>
      <w:numFmt w:val="decimal"/>
      <w:lvlText w:val="%1.%2.%3.%4.%5.%6."/>
      <w:lvlJc w:val="left"/>
      <w:pPr>
        <w:ind w:left="1550" w:hanging="1080"/>
      </w:pPr>
    </w:lvl>
    <w:lvl w:ilvl="6">
      <w:start w:val="1"/>
      <w:numFmt w:val="decimal"/>
      <w:lvlText w:val="%1.%2.%3.%4.%5.%6.%7."/>
      <w:lvlJc w:val="left"/>
      <w:pPr>
        <w:ind w:left="2004" w:hanging="1440"/>
      </w:pPr>
    </w:lvl>
    <w:lvl w:ilvl="7">
      <w:start w:val="1"/>
      <w:numFmt w:val="decimal"/>
      <w:lvlText w:val="%1.%2.%3.%4.%5.%6.%7.%8."/>
      <w:lvlJc w:val="left"/>
      <w:pPr>
        <w:ind w:left="2098" w:hanging="1440"/>
      </w:pPr>
    </w:lvl>
    <w:lvl w:ilvl="8">
      <w:start w:val="1"/>
      <w:numFmt w:val="decimal"/>
      <w:lvlText w:val="%1.%2.%3.%4.%5.%6.%7.%8.%9."/>
      <w:lvlJc w:val="left"/>
      <w:pPr>
        <w:ind w:left="2552" w:hanging="1800"/>
      </w:pPr>
    </w:lvl>
  </w:abstractNum>
  <w:abstractNum w:abstractNumId="20">
    <w:nsid w:val="4586753E"/>
    <w:multiLevelType w:val="multilevel"/>
    <w:tmpl w:val="6478A4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7432322"/>
    <w:multiLevelType w:val="hybridMultilevel"/>
    <w:tmpl w:val="0B285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3E312B"/>
    <w:multiLevelType w:val="hybridMultilevel"/>
    <w:tmpl w:val="7AA69A28"/>
    <w:lvl w:ilvl="0" w:tplc="6024D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3146E7"/>
    <w:multiLevelType w:val="hybridMultilevel"/>
    <w:tmpl w:val="54DCCBB4"/>
    <w:lvl w:ilvl="0" w:tplc="6B5663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507153F4"/>
    <w:multiLevelType w:val="multilevel"/>
    <w:tmpl w:val="0E7CE8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51A615BD"/>
    <w:multiLevelType w:val="hybridMultilevel"/>
    <w:tmpl w:val="49ACBF1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3790929"/>
    <w:multiLevelType w:val="multilevel"/>
    <w:tmpl w:val="14901BE6"/>
    <w:lvl w:ilvl="0">
      <w:start w:val="1"/>
      <w:numFmt w:val="decimal"/>
      <w:lvlText w:val="%1."/>
      <w:lvlJc w:val="left"/>
      <w:pPr>
        <w:tabs>
          <w:tab w:val="num" w:pos="994"/>
        </w:tabs>
        <w:ind w:left="274" w:firstLine="446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decimal"/>
      <w:lvlText w:val="2.%2."/>
      <w:lvlJc w:val="left"/>
      <w:pPr>
        <w:tabs>
          <w:tab w:val="num" w:pos="1416"/>
        </w:tabs>
        <w:ind w:left="785" w:hanging="154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16"/>
        </w:tabs>
        <w:ind w:left="785" w:hanging="154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416"/>
        </w:tabs>
        <w:ind w:left="785" w:hanging="154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85" w:hanging="154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85" w:hanging="154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785" w:hanging="154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785" w:hanging="154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785" w:hanging="154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7">
    <w:nsid w:val="56D02354"/>
    <w:multiLevelType w:val="multilevel"/>
    <w:tmpl w:val="12DE40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abstractNum w:abstractNumId="28">
    <w:nsid w:val="5A1F2F84"/>
    <w:multiLevelType w:val="hybridMultilevel"/>
    <w:tmpl w:val="3ABE1CF4"/>
    <w:styleLink w:val="5"/>
    <w:lvl w:ilvl="0" w:tplc="3348C58C">
      <w:start w:val="1"/>
      <w:numFmt w:val="decimal"/>
      <w:lvlText w:val="%1."/>
      <w:lvlJc w:val="left"/>
      <w:pPr>
        <w:tabs>
          <w:tab w:val="num" w:pos="1016"/>
        </w:tabs>
        <w:ind w:left="1080" w:hanging="36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2C8A0E9E">
      <w:start w:val="1"/>
      <w:numFmt w:val="lowerLetter"/>
      <w:lvlText w:val="%2."/>
      <w:lvlJc w:val="left"/>
      <w:pPr>
        <w:tabs>
          <w:tab w:val="left" w:pos="1016"/>
          <w:tab w:val="num" w:pos="1800"/>
        </w:tabs>
        <w:ind w:left="1864" w:hanging="424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3FCCC202">
      <w:start w:val="1"/>
      <w:numFmt w:val="lowerRoman"/>
      <w:lvlText w:val="%3."/>
      <w:lvlJc w:val="left"/>
      <w:pPr>
        <w:tabs>
          <w:tab w:val="left" w:pos="1016"/>
          <w:tab w:val="num" w:pos="2520"/>
        </w:tabs>
        <w:ind w:left="2584" w:hanging="364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80B41E1C">
      <w:start w:val="1"/>
      <w:numFmt w:val="decimal"/>
      <w:lvlText w:val="%4."/>
      <w:lvlJc w:val="left"/>
      <w:pPr>
        <w:tabs>
          <w:tab w:val="left" w:pos="1016"/>
          <w:tab w:val="num" w:pos="3240"/>
        </w:tabs>
        <w:ind w:left="3304" w:hanging="424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5D8072D8">
      <w:start w:val="1"/>
      <w:numFmt w:val="lowerLetter"/>
      <w:lvlText w:val="%5."/>
      <w:lvlJc w:val="left"/>
      <w:pPr>
        <w:tabs>
          <w:tab w:val="left" w:pos="1016"/>
          <w:tab w:val="num" w:pos="3960"/>
        </w:tabs>
        <w:ind w:left="4024" w:hanging="424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3572BCFC">
      <w:start w:val="1"/>
      <w:numFmt w:val="lowerRoman"/>
      <w:lvlText w:val="%6."/>
      <w:lvlJc w:val="left"/>
      <w:pPr>
        <w:tabs>
          <w:tab w:val="left" w:pos="1016"/>
          <w:tab w:val="num" w:pos="4680"/>
        </w:tabs>
        <w:ind w:left="4744" w:hanging="364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B934A456">
      <w:start w:val="1"/>
      <w:numFmt w:val="decimal"/>
      <w:lvlText w:val="%7."/>
      <w:lvlJc w:val="left"/>
      <w:pPr>
        <w:tabs>
          <w:tab w:val="left" w:pos="1016"/>
          <w:tab w:val="num" w:pos="5400"/>
        </w:tabs>
        <w:ind w:left="5464" w:hanging="424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FE92AFD0">
      <w:start w:val="1"/>
      <w:numFmt w:val="lowerLetter"/>
      <w:lvlText w:val="%8."/>
      <w:lvlJc w:val="left"/>
      <w:pPr>
        <w:tabs>
          <w:tab w:val="left" w:pos="1016"/>
          <w:tab w:val="num" w:pos="6120"/>
        </w:tabs>
        <w:ind w:left="6184" w:hanging="424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6444EA60">
      <w:start w:val="1"/>
      <w:numFmt w:val="lowerRoman"/>
      <w:lvlText w:val="%9."/>
      <w:lvlJc w:val="left"/>
      <w:pPr>
        <w:tabs>
          <w:tab w:val="left" w:pos="1016"/>
          <w:tab w:val="num" w:pos="6840"/>
        </w:tabs>
        <w:ind w:left="6904" w:hanging="364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9">
    <w:nsid w:val="5ED427DA"/>
    <w:multiLevelType w:val="hybridMultilevel"/>
    <w:tmpl w:val="C520DF4A"/>
    <w:lvl w:ilvl="0" w:tplc="42ECC33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0835D29"/>
    <w:multiLevelType w:val="hybridMultilevel"/>
    <w:tmpl w:val="5C5CADFC"/>
    <w:lvl w:ilvl="0" w:tplc="E57418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1901C6C"/>
    <w:multiLevelType w:val="hybridMultilevel"/>
    <w:tmpl w:val="AC28183C"/>
    <w:lvl w:ilvl="0" w:tplc="505C6720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3FD28D6"/>
    <w:multiLevelType w:val="hybridMultilevel"/>
    <w:tmpl w:val="8C5AD8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642A5CBE"/>
    <w:multiLevelType w:val="hybridMultilevel"/>
    <w:tmpl w:val="54DCCBB4"/>
    <w:lvl w:ilvl="0" w:tplc="6B5663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679E6C78"/>
    <w:multiLevelType w:val="hybridMultilevel"/>
    <w:tmpl w:val="11DA5DF2"/>
    <w:lvl w:ilvl="0" w:tplc="9B16263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44595F"/>
    <w:multiLevelType w:val="hybridMultilevel"/>
    <w:tmpl w:val="CF741396"/>
    <w:lvl w:ilvl="0" w:tplc="CDB8CC0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B0D790C"/>
    <w:multiLevelType w:val="hybridMultilevel"/>
    <w:tmpl w:val="0EA88874"/>
    <w:lvl w:ilvl="0" w:tplc="0254C17C">
      <w:numFmt w:val="bullet"/>
      <w:lvlText w:val="-"/>
      <w:lvlJc w:val="left"/>
      <w:pPr>
        <w:ind w:left="1287" w:hanging="360"/>
      </w:pPr>
      <w:rPr>
        <w:rFonts w:ascii="Arial" w:eastAsia="Calibri" w:hAnsi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7DDB15DA"/>
    <w:multiLevelType w:val="hybridMultilevel"/>
    <w:tmpl w:val="91F26150"/>
    <w:lvl w:ilvl="0" w:tplc="D80617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E223B33"/>
    <w:multiLevelType w:val="multilevel"/>
    <w:tmpl w:val="1D9AF478"/>
    <w:numStyleLink w:val="1"/>
  </w:abstractNum>
  <w:abstractNum w:abstractNumId="39">
    <w:nsid w:val="7F564CB6"/>
    <w:multiLevelType w:val="hybridMultilevel"/>
    <w:tmpl w:val="BFB8A4EC"/>
    <w:lvl w:ilvl="0" w:tplc="34EA7D2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2"/>
  </w:num>
  <w:num w:numId="2">
    <w:abstractNumId w:val="6"/>
  </w:num>
  <w:num w:numId="3">
    <w:abstractNumId w:val="28"/>
  </w:num>
  <w:num w:numId="4">
    <w:abstractNumId w:val="20"/>
  </w:num>
  <w:num w:numId="5">
    <w:abstractNumId w:val="27"/>
  </w:num>
  <w:num w:numId="6">
    <w:abstractNumId w:val="24"/>
  </w:num>
  <w:num w:numId="7">
    <w:abstractNumId w:val="8"/>
  </w:num>
  <w:num w:numId="8">
    <w:abstractNumId w:val="17"/>
  </w:num>
  <w:num w:numId="9">
    <w:abstractNumId w:val="13"/>
  </w:num>
  <w:num w:numId="10">
    <w:abstractNumId w:val="30"/>
  </w:num>
  <w:num w:numId="11">
    <w:abstractNumId w:val="37"/>
  </w:num>
  <w:num w:numId="12">
    <w:abstractNumId w:val="34"/>
  </w:num>
  <w:num w:numId="13">
    <w:abstractNumId w:val="19"/>
  </w:num>
  <w:num w:numId="14">
    <w:abstractNumId w:val="38"/>
  </w:num>
  <w:num w:numId="15">
    <w:abstractNumId w:val="26"/>
  </w:num>
  <w:num w:numId="16">
    <w:abstractNumId w:val="10"/>
  </w:num>
  <w:num w:numId="17">
    <w:abstractNumId w:val="22"/>
  </w:num>
  <w:num w:numId="18">
    <w:abstractNumId w:val="16"/>
  </w:num>
  <w:num w:numId="19">
    <w:abstractNumId w:val="12"/>
  </w:num>
  <w:num w:numId="20">
    <w:abstractNumId w:val="23"/>
  </w:num>
  <w:num w:numId="21">
    <w:abstractNumId w:val="0"/>
  </w:num>
  <w:num w:numId="22">
    <w:abstractNumId w:val="5"/>
  </w:num>
  <w:num w:numId="23">
    <w:abstractNumId w:val="9"/>
  </w:num>
  <w:num w:numId="24">
    <w:abstractNumId w:val="33"/>
  </w:num>
  <w:num w:numId="25">
    <w:abstractNumId w:val="4"/>
  </w:num>
  <w:num w:numId="26">
    <w:abstractNumId w:val="31"/>
  </w:num>
  <w:num w:numId="27">
    <w:abstractNumId w:val="1"/>
  </w:num>
  <w:num w:numId="28">
    <w:abstractNumId w:val="18"/>
  </w:num>
  <w:num w:numId="29">
    <w:abstractNumId w:val="39"/>
  </w:num>
  <w:num w:numId="30">
    <w:abstractNumId w:val="21"/>
  </w:num>
  <w:num w:numId="31">
    <w:abstractNumId w:val="36"/>
  </w:num>
  <w:num w:numId="32">
    <w:abstractNumId w:val="2"/>
  </w:num>
  <w:num w:numId="33">
    <w:abstractNumId w:val="11"/>
  </w:num>
  <w:num w:numId="34">
    <w:abstractNumId w:val="29"/>
  </w:num>
  <w:num w:numId="35">
    <w:abstractNumId w:val="35"/>
  </w:num>
  <w:num w:numId="36">
    <w:abstractNumId w:val="7"/>
  </w:num>
  <w:num w:numId="37">
    <w:abstractNumId w:val="25"/>
  </w:num>
  <w:num w:numId="38">
    <w:abstractNumId w:val="15"/>
  </w:num>
  <w:num w:numId="39">
    <w:abstractNumId w:val="3"/>
  </w:num>
  <w:num w:numId="40">
    <w:abstractNumId w:val="14"/>
  </w:num>
  <w:numIdMacAtCleanup w:val="12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ОРЛОВ Дмитрий Николаевич">
    <w15:presenceInfo w15:providerId="AD" w15:userId="S-1-5-21-3484588213-1648549250-2897315494-198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0">
    <w:name w:val="heading 1"/>
    <w:basedOn w:val="a"/>
    <w:next w:val="a"/>
    <w:link w:val="11"/>
    <w:qFormat/>
    <w:pPr>
      <w:keepNext/>
      <w:jc w:val="center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4. Текст"/>
    <w:basedOn w:val="a6"/>
    <w:link w:val="40"/>
    <w:autoRedefine/>
    <w:uiPriority w:val="99"/>
    <w:pPr>
      <w:widowControl w:val="0"/>
      <w:tabs>
        <w:tab w:val="left" w:pos="993"/>
      </w:tabs>
      <w:ind w:firstLine="709"/>
      <w:jc w:val="both"/>
    </w:pPr>
    <w:rPr>
      <w:sz w:val="24"/>
      <w:szCs w:val="24"/>
    </w:rPr>
  </w:style>
  <w:style w:type="character" w:customStyle="1" w:styleId="40">
    <w:name w:val="4. Текст Знак"/>
    <w:link w:val="4"/>
    <w:uiPriority w:val="99"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"/>
    <w:link w:val="a7"/>
    <w:uiPriority w:val="99"/>
    <w:semiHidden/>
    <w:unhideWhenUsed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pPr>
      <w:suppressAutoHyphens/>
      <w:spacing w:after="160" w:line="252" w:lineRule="auto"/>
      <w:ind w:left="720"/>
      <w:contextualSpacing/>
    </w:pPr>
    <w:rPr>
      <w:rFonts w:ascii="Calibri" w:eastAsia="Calibri" w:hAnsi="Calibri" w:cstheme="minorBidi"/>
      <w:color w:val="00000A"/>
      <w:sz w:val="22"/>
      <w:szCs w:val="22"/>
      <w:lang w:eastAsia="en-US"/>
    </w:rPr>
  </w:style>
  <w:style w:type="character" w:customStyle="1" w:styleId="11">
    <w:name w:val="Заголовок 1 Знак"/>
    <w:basedOn w:val="a0"/>
    <w:link w:val="1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c">
    <w:name w:val="Body Text Indent"/>
    <w:basedOn w:val="a"/>
    <w:link w:val="ad"/>
    <w:pPr>
      <w:tabs>
        <w:tab w:val="left" w:pos="567"/>
        <w:tab w:val="right" w:pos="3969"/>
      </w:tabs>
      <w:spacing w:before="60" w:line="216" w:lineRule="auto"/>
      <w:ind w:left="567"/>
    </w:pPr>
    <w:rPr>
      <w:spacing w:val="10"/>
      <w:sz w:val="18"/>
      <w:szCs w:val="18"/>
    </w:rPr>
  </w:style>
  <w:style w:type="character" w:customStyle="1" w:styleId="ad">
    <w:name w:val="Основной текст с отступом Знак"/>
    <w:basedOn w:val="a0"/>
    <w:link w:val="ac"/>
    <w:rPr>
      <w:rFonts w:ascii="Times New Roman" w:eastAsia="Times New Roman" w:hAnsi="Times New Roman" w:cs="Times New Roman"/>
      <w:spacing w:val="10"/>
      <w:sz w:val="18"/>
      <w:szCs w:val="18"/>
      <w:lang w:eastAsia="ru-RU"/>
    </w:rPr>
  </w:style>
  <w:style w:type="paragraph" w:styleId="ae">
    <w:name w:val="Body Text"/>
    <w:basedOn w:val="a"/>
    <w:link w:val="af"/>
    <w:pPr>
      <w:spacing w:line="216" w:lineRule="auto"/>
      <w:jc w:val="center"/>
    </w:pPr>
    <w:rPr>
      <w:b/>
      <w:bCs/>
      <w:sz w:val="24"/>
      <w:szCs w:val="20"/>
    </w:rPr>
  </w:style>
  <w:style w:type="character" w:customStyle="1" w:styleId="af">
    <w:name w:val="Основной текст Знак"/>
    <w:basedOn w:val="a0"/>
    <w:link w:val="a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21">
    <w:name w:val="Body Text 2"/>
    <w:basedOn w:val="a"/>
    <w:link w:val="22"/>
    <w:pPr>
      <w:jc w:val="center"/>
    </w:pPr>
    <w:rPr>
      <w:sz w:val="18"/>
      <w:szCs w:val="20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2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Block Text"/>
    <w:basedOn w:val="a"/>
    <w:uiPriority w:val="99"/>
    <w:pPr>
      <w:ind w:left="220" w:right="88"/>
      <w:jc w:val="both"/>
    </w:pPr>
    <w:rPr>
      <w:sz w:val="24"/>
      <w:szCs w:val="24"/>
    </w:rPr>
  </w:style>
  <w:style w:type="character" w:customStyle="1" w:styleId="af4">
    <w:name w:val="Основной текст_"/>
    <w:link w:val="12"/>
    <w:uiPriority w:val="99"/>
    <w:rPr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4"/>
    <w:uiPriority w:val="99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numbering" w:customStyle="1" w:styleId="1">
    <w:name w:val="Импортированный стиль 1"/>
    <w:pPr>
      <w:numPr>
        <w:numId w:val="2"/>
      </w:numPr>
    </w:pPr>
  </w:style>
  <w:style w:type="numbering" w:customStyle="1" w:styleId="5">
    <w:name w:val="Импортированный стиль 5"/>
    <w:pPr>
      <w:numPr>
        <w:numId w:val="3"/>
      </w:numPr>
    </w:pPr>
  </w:style>
  <w:style w:type="paragraph" w:styleId="af5">
    <w:name w:val="footnote text"/>
    <w:basedOn w:val="a"/>
    <w:link w:val="af6"/>
    <w:uiPriority w:val="99"/>
    <w:unhideWhenUsed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Pr>
      <w:rFonts w:ascii="Calibri" w:eastAsia="Calibri" w:hAnsi="Calibri" w:cs="Times New Roman"/>
      <w:sz w:val="20"/>
      <w:szCs w:val="20"/>
    </w:rPr>
  </w:style>
  <w:style w:type="character" w:styleId="af7">
    <w:name w:val="footnote reference"/>
    <w:uiPriority w:val="99"/>
    <w:unhideWhenUsed/>
    <w:rPr>
      <w:vertAlign w:val="superscript"/>
    </w:rPr>
  </w:style>
  <w:style w:type="paragraph" w:customStyle="1" w:styleId="af8">
    <w:name w:val="Обычный.Нормальный абзац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wmmsonormal">
    <w:name w:val="_wm__msonormal"/>
    <w:basedOn w:val="a"/>
    <w:pPr>
      <w:spacing w:before="90" w:after="90"/>
    </w:pPr>
    <w:rPr>
      <w:sz w:val="24"/>
      <w:szCs w:val="24"/>
    </w:rPr>
  </w:style>
  <w:style w:type="table" w:customStyle="1" w:styleId="41">
    <w:name w:val="Таблица простая 41"/>
    <w:basedOn w:val="a1"/>
    <w:uiPriority w:val="4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subject"/>
    <w:basedOn w:val="a6"/>
    <w:next w:val="a6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7"/>
    <w:link w:val="af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3">
    <w:name w:val="Сетка таблицы1"/>
    <w:basedOn w:val="a1"/>
    <w:next w:val="af9"/>
    <w:uiPriority w:val="39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9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9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9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f9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9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9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0">
    <w:name w:val="heading 1"/>
    <w:basedOn w:val="a"/>
    <w:next w:val="a"/>
    <w:link w:val="11"/>
    <w:qFormat/>
    <w:pPr>
      <w:keepNext/>
      <w:jc w:val="center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4. Текст"/>
    <w:basedOn w:val="a6"/>
    <w:link w:val="40"/>
    <w:autoRedefine/>
    <w:uiPriority w:val="99"/>
    <w:pPr>
      <w:widowControl w:val="0"/>
      <w:tabs>
        <w:tab w:val="left" w:pos="993"/>
      </w:tabs>
      <w:ind w:firstLine="709"/>
      <w:jc w:val="both"/>
    </w:pPr>
    <w:rPr>
      <w:sz w:val="24"/>
      <w:szCs w:val="24"/>
    </w:rPr>
  </w:style>
  <w:style w:type="character" w:customStyle="1" w:styleId="40">
    <w:name w:val="4. Текст Знак"/>
    <w:link w:val="4"/>
    <w:uiPriority w:val="99"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"/>
    <w:link w:val="a7"/>
    <w:uiPriority w:val="99"/>
    <w:semiHidden/>
    <w:unhideWhenUsed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pPr>
      <w:suppressAutoHyphens/>
      <w:spacing w:after="160" w:line="252" w:lineRule="auto"/>
      <w:ind w:left="720"/>
      <w:contextualSpacing/>
    </w:pPr>
    <w:rPr>
      <w:rFonts w:ascii="Calibri" w:eastAsia="Calibri" w:hAnsi="Calibri" w:cstheme="minorBidi"/>
      <w:color w:val="00000A"/>
      <w:sz w:val="22"/>
      <w:szCs w:val="22"/>
      <w:lang w:eastAsia="en-US"/>
    </w:rPr>
  </w:style>
  <w:style w:type="character" w:customStyle="1" w:styleId="11">
    <w:name w:val="Заголовок 1 Знак"/>
    <w:basedOn w:val="a0"/>
    <w:link w:val="1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c">
    <w:name w:val="Body Text Indent"/>
    <w:basedOn w:val="a"/>
    <w:link w:val="ad"/>
    <w:pPr>
      <w:tabs>
        <w:tab w:val="left" w:pos="567"/>
        <w:tab w:val="right" w:pos="3969"/>
      </w:tabs>
      <w:spacing w:before="60" w:line="216" w:lineRule="auto"/>
      <w:ind w:left="567"/>
    </w:pPr>
    <w:rPr>
      <w:spacing w:val="10"/>
      <w:sz w:val="18"/>
      <w:szCs w:val="18"/>
    </w:rPr>
  </w:style>
  <w:style w:type="character" w:customStyle="1" w:styleId="ad">
    <w:name w:val="Основной текст с отступом Знак"/>
    <w:basedOn w:val="a0"/>
    <w:link w:val="ac"/>
    <w:rPr>
      <w:rFonts w:ascii="Times New Roman" w:eastAsia="Times New Roman" w:hAnsi="Times New Roman" w:cs="Times New Roman"/>
      <w:spacing w:val="10"/>
      <w:sz w:val="18"/>
      <w:szCs w:val="18"/>
      <w:lang w:eastAsia="ru-RU"/>
    </w:rPr>
  </w:style>
  <w:style w:type="paragraph" w:styleId="ae">
    <w:name w:val="Body Text"/>
    <w:basedOn w:val="a"/>
    <w:link w:val="af"/>
    <w:pPr>
      <w:spacing w:line="216" w:lineRule="auto"/>
      <w:jc w:val="center"/>
    </w:pPr>
    <w:rPr>
      <w:b/>
      <w:bCs/>
      <w:sz w:val="24"/>
      <w:szCs w:val="20"/>
    </w:rPr>
  </w:style>
  <w:style w:type="character" w:customStyle="1" w:styleId="af">
    <w:name w:val="Основной текст Знак"/>
    <w:basedOn w:val="a0"/>
    <w:link w:val="a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21">
    <w:name w:val="Body Text 2"/>
    <w:basedOn w:val="a"/>
    <w:link w:val="22"/>
    <w:pPr>
      <w:jc w:val="center"/>
    </w:pPr>
    <w:rPr>
      <w:sz w:val="18"/>
      <w:szCs w:val="20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2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Block Text"/>
    <w:basedOn w:val="a"/>
    <w:uiPriority w:val="99"/>
    <w:pPr>
      <w:ind w:left="220" w:right="88"/>
      <w:jc w:val="both"/>
    </w:pPr>
    <w:rPr>
      <w:sz w:val="24"/>
      <w:szCs w:val="24"/>
    </w:rPr>
  </w:style>
  <w:style w:type="character" w:customStyle="1" w:styleId="af4">
    <w:name w:val="Основной текст_"/>
    <w:link w:val="12"/>
    <w:uiPriority w:val="99"/>
    <w:rPr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4"/>
    <w:uiPriority w:val="99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numbering" w:customStyle="1" w:styleId="1">
    <w:name w:val="Импортированный стиль 1"/>
    <w:pPr>
      <w:numPr>
        <w:numId w:val="2"/>
      </w:numPr>
    </w:pPr>
  </w:style>
  <w:style w:type="numbering" w:customStyle="1" w:styleId="5">
    <w:name w:val="Импортированный стиль 5"/>
    <w:pPr>
      <w:numPr>
        <w:numId w:val="3"/>
      </w:numPr>
    </w:pPr>
  </w:style>
  <w:style w:type="paragraph" w:styleId="af5">
    <w:name w:val="footnote text"/>
    <w:basedOn w:val="a"/>
    <w:link w:val="af6"/>
    <w:uiPriority w:val="99"/>
    <w:unhideWhenUsed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Pr>
      <w:rFonts w:ascii="Calibri" w:eastAsia="Calibri" w:hAnsi="Calibri" w:cs="Times New Roman"/>
      <w:sz w:val="20"/>
      <w:szCs w:val="20"/>
    </w:rPr>
  </w:style>
  <w:style w:type="character" w:styleId="af7">
    <w:name w:val="footnote reference"/>
    <w:uiPriority w:val="99"/>
    <w:unhideWhenUsed/>
    <w:rPr>
      <w:vertAlign w:val="superscript"/>
    </w:rPr>
  </w:style>
  <w:style w:type="paragraph" w:customStyle="1" w:styleId="af8">
    <w:name w:val="Обычный.Нормальный абзац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wmmsonormal">
    <w:name w:val="_wm__msonormal"/>
    <w:basedOn w:val="a"/>
    <w:pPr>
      <w:spacing w:before="90" w:after="90"/>
    </w:pPr>
    <w:rPr>
      <w:sz w:val="24"/>
      <w:szCs w:val="24"/>
    </w:rPr>
  </w:style>
  <w:style w:type="table" w:customStyle="1" w:styleId="41">
    <w:name w:val="Таблица простая 41"/>
    <w:basedOn w:val="a1"/>
    <w:uiPriority w:val="4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subject"/>
    <w:basedOn w:val="a6"/>
    <w:next w:val="a6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7"/>
    <w:link w:val="af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3">
    <w:name w:val="Сетка таблицы1"/>
    <w:basedOn w:val="a1"/>
    <w:next w:val="af9"/>
    <w:uiPriority w:val="39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9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9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9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f9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9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9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0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9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20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787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93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98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744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18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696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8421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725360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000FF"/>
                                                        <w:left w:val="single" w:sz="12" w:space="6" w:color="0000FF"/>
                                                        <w:bottom w:val="none" w:sz="0" w:space="0" w:color="0000FF"/>
                                                        <w:right w:val="none" w:sz="0" w:space="0" w:color="0000FF"/>
                                                      </w:divBdr>
                                                      <w:divsChild>
                                                        <w:div w:id="1626036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7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1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5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22424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03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98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07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977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165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72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104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4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34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2A01D-9639-4B7C-9E15-768B5429D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FadeevaEV</cp:lastModifiedBy>
  <cp:revision>3</cp:revision>
  <cp:lastPrinted>2023-03-21T12:10:00Z</cp:lastPrinted>
  <dcterms:created xsi:type="dcterms:W3CDTF">2026-02-11T09:49:00Z</dcterms:created>
  <dcterms:modified xsi:type="dcterms:W3CDTF">2026-02-11T09:54:00Z</dcterms:modified>
</cp:coreProperties>
</file>