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000000" w14:textId="77777777" w:rsidR="00B96F64" w:rsidRDefault="0082126F" w:rsidP="00CF3BE5">
      <w:pPr>
        <w:spacing w:after="0" w:line="240" w:lineRule="auto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ПОЯСНИТЕЛЬНАЯ ЗАПИСКА</w:t>
      </w:r>
    </w:p>
    <w:p w14:paraId="2B000000" w14:textId="77777777" w:rsidR="00B96F64" w:rsidRDefault="0082126F">
      <w:pPr>
        <w:spacing w:after="0" w:line="240" w:lineRule="auto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к проекту федерального закона «О внесении изменений в статью 2 Федерального закона «О внесении изменений в Федеральный закон</w:t>
      </w:r>
    </w:p>
    <w:p w14:paraId="2C000000" w14:textId="77777777" w:rsidR="00B96F64" w:rsidRDefault="0082126F">
      <w:pPr>
        <w:spacing w:after="0" w:line="240" w:lineRule="auto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«О промышленной политике в Российской Федерации» в части регулирования специальных инвестиционных контрактов»</w:t>
      </w:r>
    </w:p>
    <w:p w14:paraId="2D000000" w14:textId="77777777" w:rsidR="00B96F64" w:rsidRDefault="00B96F64">
      <w:pPr>
        <w:tabs>
          <w:tab w:val="left" w:pos="1134"/>
        </w:tabs>
        <w:spacing w:after="0" w:line="360" w:lineRule="auto"/>
        <w:ind w:firstLine="709"/>
        <w:contextualSpacing/>
        <w:jc w:val="center"/>
        <w:rPr>
          <w:rFonts w:ascii="PT Astra Serif" w:hAnsi="PT Astra Serif"/>
          <w:sz w:val="28"/>
        </w:rPr>
      </w:pPr>
    </w:p>
    <w:p w14:paraId="2E000000" w14:textId="790007CF" w:rsidR="00B96F64" w:rsidRDefault="0082126F">
      <w:pPr>
        <w:tabs>
          <w:tab w:val="left" w:pos="0"/>
        </w:tabs>
        <w:spacing w:after="200" w:line="360" w:lineRule="auto"/>
        <w:ind w:firstLine="709"/>
        <w:contextualSpacing/>
        <w:jc w:val="both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>Проект федерального закона «О внесении изменений в статью 2 Федерального закона «О внесении изменений в Федеральный</w:t>
      </w:r>
      <w:r w:rsidR="00823750">
        <w:rPr>
          <w:rFonts w:ascii="PT Astra Serif" w:hAnsi="PT Astra Serif"/>
          <w:sz w:val="28"/>
        </w:rPr>
        <w:t xml:space="preserve"> закон </w:t>
      </w:r>
      <w:r w:rsidR="00823750" w:rsidRPr="00823750">
        <w:rPr>
          <w:rFonts w:ascii="PT Astra Serif" w:hAnsi="PT Astra Serif"/>
          <w:sz w:val="28"/>
        </w:rPr>
        <w:br/>
      </w:r>
      <w:r w:rsidR="00823750">
        <w:rPr>
          <w:rFonts w:ascii="PT Astra Serif" w:hAnsi="PT Astra Serif"/>
          <w:sz w:val="28"/>
        </w:rPr>
        <w:t>«О промышленной политике</w:t>
      </w:r>
      <w:r w:rsidR="00823750" w:rsidRPr="00823750"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в Российской Федерации» в части регулирования специальных инвестиционных контрактов» (далее – законопроект) разработан во исполнение поручения Президента Российской Федерации В.В. Путина </w:t>
      </w:r>
      <w:r w:rsidR="00354B04" w:rsidRPr="00354B04"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от 21.07.2022 № Пр-1288 о внесении изменений в Федеральный закон </w:t>
      </w:r>
      <w:r w:rsidR="00354B04" w:rsidRPr="00354B04"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от 31 декабря 2014 года №</w:t>
      </w:r>
      <w:r w:rsidR="00354B04" w:rsidRPr="00354B04"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488-</w:t>
      </w:r>
      <w:bookmarkStart w:id="0" w:name="_GoBack"/>
      <w:bookmarkEnd w:id="0"/>
      <w:r>
        <w:rPr>
          <w:rFonts w:ascii="PT Astra Serif" w:hAnsi="PT Astra Serif"/>
          <w:sz w:val="28"/>
        </w:rPr>
        <w:t>ФЗ «О промышленной политике в</w:t>
      </w:r>
      <w:proofErr w:type="gramEnd"/>
      <w:r>
        <w:rPr>
          <w:rFonts w:ascii="PT Astra Serif" w:hAnsi="PT Astra Serif"/>
          <w:sz w:val="28"/>
        </w:rPr>
        <w:t xml:space="preserve"> </w:t>
      </w:r>
      <w:proofErr w:type="gramStart"/>
      <w:r>
        <w:rPr>
          <w:rFonts w:ascii="PT Astra Serif" w:hAnsi="PT Astra Serif"/>
          <w:sz w:val="28"/>
        </w:rPr>
        <w:t>Российской Федерации» и иные нормативные правовые акты изменений, предусматривающих возможность продления для российский автопроизводителей действующих специальных инвестиционных контрактов на период до 2033 года,  а также для целей создания условий устойчивого развития автомобильной промышленности в Российской Федерации.</w:t>
      </w:r>
      <w:proofErr w:type="gramEnd"/>
    </w:p>
    <w:p w14:paraId="2F000000" w14:textId="0E046366" w:rsidR="00B96F64" w:rsidRDefault="0082126F">
      <w:pPr>
        <w:tabs>
          <w:tab w:val="left" w:pos="0"/>
        </w:tabs>
        <w:spacing w:after="200" w:line="360" w:lineRule="auto"/>
        <w:ind w:firstLine="709"/>
        <w:contextualSpacing/>
        <w:jc w:val="both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>В Федеральный закон от 2 августа 2019 года № 290-ФЗ «О внесении изменений в Федеральный закон «О промышленной политике в Российской Федерации в части регулирования специальных инвестиционных контрактов» (далее – Федеральный закон № 290-ФЗ), которым с 13 августа 2019 года введен обновленный механизм специальных инвестиционных контрактов (СПИК 2.0) и установлены переходные положения для СПИК 1.0, внесены изменения обеспечивающие возможность продления специальных инвестиционных контрактов</w:t>
      </w:r>
      <w:proofErr w:type="gramEnd"/>
      <w:r>
        <w:rPr>
          <w:rFonts w:ascii="PT Astra Serif" w:hAnsi="PT Astra Serif"/>
          <w:sz w:val="28"/>
        </w:rPr>
        <w:t xml:space="preserve"> в сфере автомобильной промышленности, заключенных на день вступления в силу Федерального закона №290-ФЗ  (СПИК 1.0) на период </w:t>
      </w:r>
      <w:r w:rsidR="00EE5095" w:rsidRPr="00EE5095"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до 31 декабря 2033 года.</w:t>
      </w:r>
    </w:p>
    <w:p w14:paraId="30000000" w14:textId="37B81485" w:rsidR="00B96F64" w:rsidRDefault="0082126F">
      <w:pPr>
        <w:tabs>
          <w:tab w:val="left" w:pos="0"/>
        </w:tabs>
        <w:spacing w:after="200" w:line="360" w:lineRule="auto"/>
        <w:ind w:firstLine="709"/>
        <w:contextualSpacing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Вместе с тем, вступившая в силу редакция Федерального закона № 290-ФЗ, не позволяет распространить его положения на специальные </w:t>
      </w:r>
      <w:r>
        <w:rPr>
          <w:rFonts w:ascii="PT Astra Serif" w:hAnsi="PT Astra Serif"/>
          <w:sz w:val="28"/>
        </w:rPr>
        <w:lastRenderedPageBreak/>
        <w:t xml:space="preserve">инвестиционные контракты в сфере автомобильной промышленности, решения о </w:t>
      </w:r>
      <w:proofErr w:type="gramStart"/>
      <w:r>
        <w:rPr>
          <w:rFonts w:ascii="PT Astra Serif" w:hAnsi="PT Astra Serif"/>
          <w:sz w:val="28"/>
        </w:rPr>
        <w:t>возможности</w:t>
      </w:r>
      <w:proofErr w:type="gramEnd"/>
      <w:r>
        <w:rPr>
          <w:rFonts w:ascii="PT Astra Serif" w:hAnsi="PT Astra Serif"/>
          <w:sz w:val="28"/>
        </w:rPr>
        <w:t xml:space="preserve"> заключения которых одобрены Межведомственной комиссией </w:t>
      </w:r>
      <w:r w:rsidR="00EE5095" w:rsidRPr="00EE5095"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в порядке, установленном </w:t>
      </w:r>
      <w:r>
        <w:rPr>
          <w:rFonts w:ascii="PT Astra Serif" w:hAnsi="PT Astra Serif"/>
          <w:sz w:val="28"/>
          <w:u w:color="000000"/>
        </w:rPr>
        <w:t>Постановлением</w:t>
      </w:r>
      <w:r>
        <w:rPr>
          <w:rFonts w:ascii="PT Astra Serif" w:hAnsi="PT Astra Serif"/>
          <w:sz w:val="28"/>
        </w:rPr>
        <w:t xml:space="preserve"> Правительства Российской Федерации от 16 июля 2015 г. №708 «О специальных инвестиционных контрактах для отдельных отраслей промышленности» на дату вступления </w:t>
      </w:r>
      <w:r w:rsidR="00EE5095" w:rsidRPr="00EE5095"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в силу  Федерального закона № 290-ФЗ и которые заключены после вступления в силу Федерального закона №290-ФЗ в порядке, установленном статьей 16 Федерального закона от 31 декабря 2014 года №488-ФЗ «О промышленной политике в Российской Федерации» (СПИК 1.0).</w:t>
      </w:r>
    </w:p>
    <w:p w14:paraId="31000000" w14:textId="77777777" w:rsidR="00B96F64" w:rsidRDefault="0082126F">
      <w:pPr>
        <w:tabs>
          <w:tab w:val="left" w:pos="0"/>
        </w:tabs>
        <w:spacing w:after="200" w:line="360" w:lineRule="auto"/>
        <w:ind w:firstLine="709"/>
        <w:contextualSpacing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Вместе с тем недружественные действия, осуществляемые рядом иностранных государств, в отношении предприятий автомобильной промышленности имеют сопоставимое негативное воздействие  как  на предприятия, имеющие заключенный СПИК на момент вступления Федерального закона № 290-ФЗ  в силу, так и на предприятия, заключившие СПИК 1.0 после вступления в силу Федерального закона №290-ФЗ.</w:t>
      </w:r>
    </w:p>
    <w:p w14:paraId="32000000" w14:textId="77777777" w:rsidR="00B96F64" w:rsidRDefault="0082126F">
      <w:pPr>
        <w:tabs>
          <w:tab w:val="left" w:pos="0"/>
        </w:tabs>
        <w:spacing w:after="200" w:line="360" w:lineRule="auto"/>
        <w:ind w:firstLine="709"/>
        <w:contextualSpacing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 этой связи проектом федерального закона предлагается распространить возможность продления до 31 декабря 2033 года  специальных инвестиционных контрактов в сфере автомобильной промышленности с участием Российской Федерации (СПИК 1.0), решения о возможности заключения которых были приняты в установленном  </w:t>
      </w:r>
      <w:hyperlink r:id="rId8" w:history="1">
        <w:r>
          <w:rPr>
            <w:rFonts w:ascii="PT Astra Serif" w:hAnsi="PT Astra Serif"/>
            <w:sz w:val="28"/>
          </w:rPr>
          <w:t>порядке</w:t>
        </w:r>
      </w:hyperlink>
      <w:r>
        <w:rPr>
          <w:rFonts w:ascii="PT Astra Serif" w:hAnsi="PT Astra Serif"/>
          <w:sz w:val="28"/>
        </w:rPr>
        <w:t xml:space="preserve"> до дня вступления в силу  Федерального закона №290-ФЗ и которые заключены после его вступления. </w:t>
      </w:r>
    </w:p>
    <w:p w14:paraId="33000000" w14:textId="2BF7F3F5" w:rsidR="00B96F64" w:rsidRDefault="0082126F">
      <w:pPr>
        <w:spacing w:after="0" w:line="360" w:lineRule="auto"/>
        <w:ind w:firstLine="709"/>
        <w:jc w:val="both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 xml:space="preserve">На территории Тульской области расположен автомобильный завод, заключивший специальный инвестиционный контракт с участием Российской Федерации  23 сентября 2020 года в  соответствии со статьей 16 Федерального закона от 31 декабря 2014 года №488-ФЗ «О промышленной политике </w:t>
      </w:r>
      <w:r w:rsidR="00EE5095" w:rsidRPr="00EE5095"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в Российской Федерации»  на основании положительного решения Межведомственной комиссии, принятого  в установленном Правительством Российской Федерации </w:t>
      </w:r>
      <w:hyperlink r:id="rId9" w:history="1">
        <w:r>
          <w:rPr>
            <w:rFonts w:ascii="PT Astra Serif" w:hAnsi="PT Astra Serif"/>
            <w:sz w:val="28"/>
          </w:rPr>
          <w:t>порядке</w:t>
        </w:r>
      </w:hyperlink>
      <w:r>
        <w:rPr>
          <w:rFonts w:ascii="PT Astra Serif" w:hAnsi="PT Astra Serif"/>
          <w:sz w:val="28"/>
        </w:rPr>
        <w:t xml:space="preserve"> до дня вступления в силу Федерального закона № 290-ФЗ (СПИК</w:t>
      </w:r>
      <w:proofErr w:type="gramEnd"/>
      <w:r>
        <w:rPr>
          <w:rFonts w:ascii="PT Astra Serif" w:hAnsi="PT Astra Serif"/>
          <w:sz w:val="28"/>
        </w:rPr>
        <w:t xml:space="preserve"> 1.0). </w:t>
      </w:r>
    </w:p>
    <w:p w14:paraId="34000000" w14:textId="33900599" w:rsidR="00B96F64" w:rsidRDefault="0082126F">
      <w:pPr>
        <w:tabs>
          <w:tab w:val="left" w:pos="0"/>
        </w:tabs>
        <w:spacing w:after="200" w:line="360" w:lineRule="auto"/>
        <w:ind w:firstLine="709"/>
        <w:contextualSpacing/>
        <w:jc w:val="both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lastRenderedPageBreak/>
        <w:t xml:space="preserve">Возможность продления такого СПИК в сфере автомобильной промышленности на период до 31 декабря 2033 года позволит обеспечить условия для реализации проектов по локализации компонентов двигателя внутреннего сгорания и автоматических коробок перемены передач (операции по механической обработке и термообработке валов и шестерен, использование заготовок коленчатых валов российского производства, обработка колец </w:t>
      </w:r>
      <w:r w:rsidR="00EE5095" w:rsidRPr="00EE5095"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и использование заголовок колец российского производства).</w:t>
      </w:r>
      <w:proofErr w:type="gramEnd"/>
      <w:r>
        <w:rPr>
          <w:rFonts w:ascii="PT Astra Serif" w:hAnsi="PT Astra Serif"/>
          <w:sz w:val="28"/>
        </w:rPr>
        <w:t xml:space="preserve"> Одновременно </w:t>
      </w:r>
      <w:r w:rsidR="00EE5095" w:rsidRPr="00EE5095"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с этим продление СПИК окажет положительный эффект на сохранение темпов локализации производства автомобилей инвестором и создаст предпосылки для освоения ключевых компонентов электронной архитектуры автомобиля, таких как блоки управления двигателем, трансмиссией и блоки кузовной электроники.</w:t>
      </w:r>
    </w:p>
    <w:p w14:paraId="35000000" w14:textId="13EA1343" w:rsidR="00B96F64" w:rsidRDefault="0082126F">
      <w:pPr>
        <w:tabs>
          <w:tab w:val="left" w:pos="0"/>
        </w:tabs>
        <w:spacing w:after="200" w:line="360" w:lineRule="auto"/>
        <w:ind w:firstLine="709"/>
        <w:contextualSpacing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Таким образом</w:t>
      </w:r>
      <w:r w:rsidR="00823750" w:rsidRPr="00823750">
        <w:rPr>
          <w:rFonts w:ascii="PT Astra Serif" w:hAnsi="PT Astra Serif"/>
          <w:sz w:val="28"/>
        </w:rPr>
        <w:t>,</w:t>
      </w:r>
      <w:r>
        <w:rPr>
          <w:rFonts w:ascii="PT Astra Serif" w:hAnsi="PT Astra Serif"/>
          <w:sz w:val="28"/>
        </w:rPr>
        <w:t xml:space="preserve"> разработанный законопроект направлен на устранение правовой коллизии и создание равных условий для возможности продления специальных инвестиционных контрактов в сфере автомобильной пр</w:t>
      </w:r>
      <w:r w:rsidR="00823750">
        <w:rPr>
          <w:rFonts w:ascii="PT Astra Serif" w:hAnsi="PT Astra Serif"/>
          <w:sz w:val="28"/>
        </w:rPr>
        <w:t>омышленности,</w:t>
      </w:r>
      <w:r w:rsidR="00823750" w:rsidRPr="00823750"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что соответствует поручению Президента Р</w:t>
      </w:r>
      <w:r w:rsidR="00823750">
        <w:rPr>
          <w:rFonts w:ascii="PT Astra Serif" w:hAnsi="PT Astra Serif"/>
          <w:sz w:val="28"/>
        </w:rPr>
        <w:t>оссийской Федерации В.В. Путина</w:t>
      </w:r>
      <w:r w:rsidR="00823750" w:rsidRPr="00EE5095"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от 21.07.2022 № Пр-1288.  </w:t>
      </w:r>
    </w:p>
    <w:p w14:paraId="36000000" w14:textId="77777777" w:rsidR="00B96F64" w:rsidRDefault="0082126F">
      <w:pPr>
        <w:tabs>
          <w:tab w:val="left" w:pos="0"/>
        </w:tabs>
        <w:spacing w:after="200" w:line="360" w:lineRule="auto"/>
        <w:ind w:firstLine="709"/>
        <w:contextualSpacing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Срок вступления в силу законопроекта предлагается установить  со дня его официального опубликования.</w:t>
      </w:r>
    </w:p>
    <w:p w14:paraId="37000000" w14:textId="77777777" w:rsidR="00B96F64" w:rsidRDefault="0082126F">
      <w:pPr>
        <w:tabs>
          <w:tab w:val="left" w:pos="0"/>
        </w:tabs>
        <w:spacing w:after="200" w:line="360" w:lineRule="auto"/>
        <w:ind w:firstLine="709"/>
        <w:contextualSpacing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Реализация положений законопроекта не повлечет за собой дополнительных расходов федерального бюджета.</w:t>
      </w:r>
    </w:p>
    <w:p w14:paraId="38000000" w14:textId="77777777" w:rsidR="00B96F64" w:rsidRDefault="00B96F64">
      <w:pPr>
        <w:spacing w:after="0" w:line="480" w:lineRule="auto"/>
        <w:ind w:firstLine="709"/>
        <w:jc w:val="both"/>
        <w:rPr>
          <w:rFonts w:ascii="PT Astra Serif" w:hAnsi="PT Astra Serif"/>
          <w:sz w:val="28"/>
        </w:rPr>
      </w:pPr>
    </w:p>
    <w:p w14:paraId="39000000" w14:textId="77777777" w:rsidR="00B96F64" w:rsidRDefault="00B96F64">
      <w:pPr>
        <w:spacing w:after="0" w:line="480" w:lineRule="auto"/>
        <w:ind w:firstLine="709"/>
        <w:jc w:val="both"/>
        <w:rPr>
          <w:rFonts w:ascii="PT Astra Serif" w:hAnsi="PT Astra Serif"/>
          <w:sz w:val="28"/>
        </w:rPr>
      </w:pPr>
    </w:p>
    <w:p w14:paraId="3A000000" w14:textId="77777777" w:rsidR="00B96F64" w:rsidRDefault="00B96F64">
      <w:pPr>
        <w:spacing w:after="0" w:line="480" w:lineRule="auto"/>
        <w:ind w:firstLine="709"/>
        <w:jc w:val="both"/>
        <w:rPr>
          <w:rFonts w:ascii="PT Astra Serif" w:hAnsi="PT Astra Serif"/>
          <w:sz w:val="28"/>
        </w:rPr>
      </w:pPr>
    </w:p>
    <w:p w14:paraId="3B000000" w14:textId="77777777" w:rsidR="00B96F64" w:rsidRDefault="00B96F64">
      <w:pPr>
        <w:spacing w:after="0" w:line="480" w:lineRule="auto"/>
        <w:ind w:firstLine="709"/>
        <w:jc w:val="both"/>
        <w:rPr>
          <w:rFonts w:ascii="PT Astra Serif" w:hAnsi="PT Astra Serif"/>
          <w:sz w:val="28"/>
        </w:rPr>
      </w:pPr>
    </w:p>
    <w:p w14:paraId="3C000000" w14:textId="77777777" w:rsidR="00B96F64" w:rsidRDefault="00B96F64">
      <w:pPr>
        <w:spacing w:after="0" w:line="480" w:lineRule="auto"/>
        <w:ind w:firstLine="709"/>
        <w:jc w:val="both"/>
        <w:rPr>
          <w:rFonts w:ascii="PT Astra Serif" w:hAnsi="PT Astra Serif"/>
          <w:sz w:val="28"/>
        </w:rPr>
      </w:pPr>
    </w:p>
    <w:p w14:paraId="40000000" w14:textId="77777777" w:rsidR="00B96F64" w:rsidRPr="00EE5095" w:rsidRDefault="00B96F64" w:rsidP="00823750">
      <w:pPr>
        <w:spacing w:after="0" w:line="480" w:lineRule="auto"/>
        <w:jc w:val="both"/>
        <w:rPr>
          <w:rFonts w:ascii="PT Astra Serif" w:hAnsi="PT Astra Serif"/>
          <w:sz w:val="28"/>
        </w:rPr>
      </w:pPr>
    </w:p>
    <w:sectPr w:rsidR="00B96F64" w:rsidRPr="00EE5095" w:rsidSect="00CF3BE5">
      <w:headerReference w:type="default" r:id="rId10"/>
      <w:footerReference w:type="default" r:id="rId11"/>
      <w:headerReference w:type="first" r:id="rId12"/>
      <w:pgSz w:w="11906" w:h="16838"/>
      <w:pgMar w:top="1418" w:right="851" w:bottom="1418" w:left="1418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FF495C" w14:textId="77777777" w:rsidR="00F47055" w:rsidRDefault="00F47055">
      <w:pPr>
        <w:spacing w:after="0" w:line="240" w:lineRule="auto"/>
      </w:pPr>
      <w:r>
        <w:separator/>
      </w:r>
    </w:p>
  </w:endnote>
  <w:endnote w:type="continuationSeparator" w:id="0">
    <w:p w14:paraId="1AFB95AD" w14:textId="77777777" w:rsidR="00F47055" w:rsidRDefault="00F47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000000" w14:textId="77777777" w:rsidR="00B96F64" w:rsidRDefault="00B96F64">
    <w:pPr>
      <w:pStyle w:val="ac"/>
      <w:jc w:val="right"/>
    </w:pPr>
  </w:p>
  <w:p w14:paraId="03000000" w14:textId="77777777" w:rsidR="00B96F64" w:rsidRDefault="00B96F6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1FA94B" w14:textId="77777777" w:rsidR="00F47055" w:rsidRDefault="00F47055">
      <w:pPr>
        <w:spacing w:after="0" w:line="240" w:lineRule="auto"/>
      </w:pPr>
      <w:r>
        <w:separator/>
      </w:r>
    </w:p>
  </w:footnote>
  <w:footnote w:type="continuationSeparator" w:id="0">
    <w:p w14:paraId="537FDBD7" w14:textId="77777777" w:rsidR="00F47055" w:rsidRDefault="00F470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3479835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1822D0F9" w14:textId="4065417A" w:rsidR="00CF3BE5" w:rsidRPr="00031366" w:rsidRDefault="00CF3BE5">
        <w:pPr>
          <w:pStyle w:val="a7"/>
          <w:jc w:val="center"/>
          <w:rPr>
            <w:rFonts w:ascii="Times New Roman" w:hAnsi="Times New Roman"/>
          </w:rPr>
        </w:pPr>
        <w:r w:rsidRPr="00031366">
          <w:rPr>
            <w:rFonts w:ascii="Times New Roman" w:hAnsi="Times New Roman"/>
          </w:rPr>
          <w:fldChar w:fldCharType="begin"/>
        </w:r>
        <w:r w:rsidRPr="00031366">
          <w:rPr>
            <w:rFonts w:ascii="Times New Roman" w:hAnsi="Times New Roman"/>
          </w:rPr>
          <w:instrText>PAGE   \* MERGEFORMAT</w:instrText>
        </w:r>
        <w:r w:rsidRPr="00031366">
          <w:rPr>
            <w:rFonts w:ascii="Times New Roman" w:hAnsi="Times New Roman"/>
          </w:rPr>
          <w:fldChar w:fldCharType="separate"/>
        </w:r>
        <w:r w:rsidR="00354B04">
          <w:rPr>
            <w:rFonts w:ascii="Times New Roman" w:hAnsi="Times New Roman"/>
            <w:noProof/>
          </w:rPr>
          <w:t>2</w:t>
        </w:r>
        <w:r w:rsidRPr="00031366">
          <w:rPr>
            <w:rFonts w:ascii="Times New Roman" w:hAnsi="Times New Roman"/>
          </w:rPr>
          <w:fldChar w:fldCharType="end"/>
        </w:r>
      </w:p>
    </w:sdtContent>
  </w:sdt>
  <w:p w14:paraId="01000000" w14:textId="77777777" w:rsidR="00B96F64" w:rsidRDefault="00B96F64">
    <w:pPr>
      <w:pStyle w:val="a7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867C4B" w14:textId="05961E39" w:rsidR="00CF3BE5" w:rsidRDefault="00CF3BE5">
    <w:pPr>
      <w:pStyle w:val="a7"/>
      <w:jc w:val="center"/>
    </w:pPr>
  </w:p>
  <w:p w14:paraId="5883DB80" w14:textId="77777777" w:rsidR="00CF3BE5" w:rsidRDefault="00CF3BE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A13A15"/>
    <w:multiLevelType w:val="multilevel"/>
    <w:tmpl w:val="FC54E6E2"/>
    <w:lvl w:ilvl="0">
      <w:start w:val="1"/>
      <w:numFmt w:val="decimal"/>
      <w:lvlText w:val="%1)"/>
      <w:lvlJc w:val="left"/>
      <w:pPr>
        <w:widowControl/>
        <w:ind w:left="7590" w:hanging="360"/>
      </w:pPr>
    </w:lvl>
    <w:lvl w:ilvl="1">
      <w:start w:val="1"/>
      <w:numFmt w:val="lowerLetter"/>
      <w:lvlText w:val="%2."/>
      <w:lvlJc w:val="left"/>
      <w:pPr>
        <w:widowControl/>
        <w:ind w:left="8310" w:hanging="360"/>
      </w:pPr>
    </w:lvl>
    <w:lvl w:ilvl="2">
      <w:start w:val="1"/>
      <w:numFmt w:val="lowerRoman"/>
      <w:lvlText w:val="%3."/>
      <w:lvlJc w:val="right"/>
      <w:pPr>
        <w:widowControl/>
        <w:ind w:left="9030" w:hanging="180"/>
      </w:pPr>
    </w:lvl>
    <w:lvl w:ilvl="3">
      <w:start w:val="1"/>
      <w:numFmt w:val="decimal"/>
      <w:lvlText w:val="%4."/>
      <w:lvlJc w:val="left"/>
      <w:pPr>
        <w:widowControl/>
        <w:ind w:left="9750" w:hanging="360"/>
      </w:pPr>
    </w:lvl>
    <w:lvl w:ilvl="4">
      <w:start w:val="1"/>
      <w:numFmt w:val="lowerLetter"/>
      <w:lvlText w:val="%5."/>
      <w:lvlJc w:val="left"/>
      <w:pPr>
        <w:widowControl/>
        <w:ind w:left="10470" w:hanging="360"/>
      </w:pPr>
    </w:lvl>
    <w:lvl w:ilvl="5">
      <w:start w:val="1"/>
      <w:numFmt w:val="lowerRoman"/>
      <w:lvlText w:val="%6."/>
      <w:lvlJc w:val="right"/>
      <w:pPr>
        <w:widowControl/>
        <w:ind w:left="11190" w:hanging="180"/>
      </w:pPr>
    </w:lvl>
    <w:lvl w:ilvl="6">
      <w:start w:val="1"/>
      <w:numFmt w:val="decimal"/>
      <w:lvlText w:val="%7."/>
      <w:lvlJc w:val="left"/>
      <w:pPr>
        <w:widowControl/>
        <w:ind w:left="11910" w:hanging="360"/>
      </w:pPr>
    </w:lvl>
    <w:lvl w:ilvl="7">
      <w:start w:val="1"/>
      <w:numFmt w:val="lowerLetter"/>
      <w:lvlText w:val="%8."/>
      <w:lvlJc w:val="left"/>
      <w:pPr>
        <w:widowControl/>
        <w:ind w:left="12630" w:hanging="360"/>
      </w:pPr>
    </w:lvl>
    <w:lvl w:ilvl="8">
      <w:start w:val="1"/>
      <w:numFmt w:val="lowerRoman"/>
      <w:lvlText w:val="%9."/>
      <w:lvlJc w:val="right"/>
      <w:pPr>
        <w:widowControl/>
        <w:ind w:left="133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96F64"/>
    <w:rsid w:val="0000087D"/>
    <w:rsid w:val="00031366"/>
    <w:rsid w:val="000B1D42"/>
    <w:rsid w:val="00143072"/>
    <w:rsid w:val="00171396"/>
    <w:rsid w:val="0022643E"/>
    <w:rsid w:val="00354B04"/>
    <w:rsid w:val="00550D7E"/>
    <w:rsid w:val="0082126F"/>
    <w:rsid w:val="00823750"/>
    <w:rsid w:val="00977924"/>
    <w:rsid w:val="00B96F64"/>
    <w:rsid w:val="00C80132"/>
    <w:rsid w:val="00CF3BE5"/>
    <w:rsid w:val="00DF0B7C"/>
    <w:rsid w:val="00EE5095"/>
    <w:rsid w:val="00F4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ECF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52" w:lineRule="auto"/>
    </w:pPr>
  </w:style>
  <w:style w:type="paragraph" w:styleId="10">
    <w:name w:val="heading 1"/>
    <w:next w:val="a"/>
    <w:link w:val="11"/>
    <w:uiPriority w:val="9"/>
    <w:qFormat/>
    <w:pPr>
      <w:widowControl w:val="0"/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widowControl w:val="0"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 w:val="0"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 w:val="0"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 w:val="0"/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widowControl w:val="0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annotation subject"/>
    <w:basedOn w:val="a4"/>
    <w:next w:val="a4"/>
    <w:link w:val="a5"/>
    <w:rPr>
      <w:b/>
    </w:rPr>
  </w:style>
  <w:style w:type="character" w:customStyle="1" w:styleId="a5">
    <w:name w:val="Тема примечания Знак"/>
    <w:basedOn w:val="a6"/>
    <w:link w:val="a3"/>
    <w:rPr>
      <w:b/>
      <w:sz w:val="20"/>
    </w:rPr>
  </w:style>
  <w:style w:type="paragraph" w:styleId="41">
    <w:name w:val="toc 4"/>
    <w:next w:val="a"/>
    <w:link w:val="42"/>
    <w:uiPriority w:val="39"/>
    <w:pPr>
      <w:widowControl w:val="0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 w:val="0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 w:val="0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  <w:uiPriority w:val="99"/>
  </w:style>
  <w:style w:type="paragraph" w:customStyle="1" w:styleId="Endnote">
    <w:name w:val="Endnote"/>
    <w:link w:val="Endnote0"/>
    <w:pPr>
      <w:widowControl w:val="0"/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31">
    <w:name w:val="toc 3"/>
    <w:next w:val="a"/>
    <w:link w:val="32"/>
    <w:uiPriority w:val="39"/>
    <w:pPr>
      <w:widowControl w:val="0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9">
    <w:name w:val="Balloon Text"/>
    <w:basedOn w:val="a"/>
    <w:link w:val="aa"/>
    <w:pPr>
      <w:spacing w:after="0" w:line="240" w:lineRule="auto"/>
    </w:pPr>
    <w:rPr>
      <w:rFonts w:ascii="Segoe UI" w:hAnsi="Segoe UI"/>
      <w:sz w:val="18"/>
    </w:rPr>
  </w:style>
  <w:style w:type="character" w:customStyle="1" w:styleId="aa">
    <w:name w:val="Текст выноски Знак"/>
    <w:basedOn w:val="1"/>
    <w:link w:val="a9"/>
    <w:rPr>
      <w:rFonts w:ascii="Segoe UI" w:hAnsi="Segoe UI"/>
      <w:sz w:val="1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b"/>
    <w:rPr>
      <w:color w:val="0563C1" w:themeColor="hyperlink"/>
      <w:u w:val="single"/>
    </w:rPr>
  </w:style>
  <w:style w:type="character" w:styleId="ab">
    <w:name w:val="Hyperlink"/>
    <w:basedOn w:val="a0"/>
    <w:link w:val="12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widowControl w:val="0"/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pPr>
      <w:widowControl w:val="0"/>
    </w:pPr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13">
    <w:name w:val="Основной шрифт абзаца1"/>
  </w:style>
  <w:style w:type="paragraph" w:customStyle="1" w:styleId="HeaderandFooter">
    <w:name w:val="Header and Footer"/>
    <w:link w:val="HeaderandFooter0"/>
    <w:pPr>
      <w:widowControl w:val="0"/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annotation text"/>
    <w:basedOn w:val="a"/>
    <w:link w:val="a6"/>
    <w:pPr>
      <w:spacing w:line="240" w:lineRule="auto"/>
    </w:pPr>
    <w:rPr>
      <w:sz w:val="20"/>
    </w:rPr>
  </w:style>
  <w:style w:type="character" w:customStyle="1" w:styleId="a6">
    <w:name w:val="Текст примечания Знак"/>
    <w:basedOn w:val="1"/>
    <w:link w:val="a4"/>
    <w:rPr>
      <w:sz w:val="20"/>
    </w:rPr>
  </w:style>
  <w:style w:type="paragraph" w:styleId="9">
    <w:name w:val="toc 9"/>
    <w:next w:val="a"/>
    <w:link w:val="90"/>
    <w:uiPriority w:val="39"/>
    <w:pPr>
      <w:widowControl w:val="0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 w:val="0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6">
    <w:name w:val="Неразрешенное упоминание1"/>
    <w:basedOn w:val="13"/>
    <w:link w:val="23"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link w:val="16"/>
    <w:rPr>
      <w:color w:val="605E5C"/>
      <w:shd w:val="clear" w:color="auto" w:fill="E1DFDD"/>
    </w:rPr>
  </w:style>
  <w:style w:type="paragraph" w:styleId="51">
    <w:name w:val="toc 5"/>
    <w:next w:val="a"/>
    <w:link w:val="52"/>
    <w:uiPriority w:val="39"/>
    <w:pPr>
      <w:widowControl w:val="0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Subtitle"/>
    <w:next w:val="a"/>
    <w:link w:val="af"/>
    <w:uiPriority w:val="11"/>
    <w:qFormat/>
    <w:pPr>
      <w:widowControl w:val="0"/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List Paragraph"/>
    <w:basedOn w:val="a"/>
    <w:link w:val="af1"/>
    <w:pPr>
      <w:ind w:left="720"/>
      <w:contextualSpacing/>
    </w:pPr>
  </w:style>
  <w:style w:type="character" w:customStyle="1" w:styleId="af1">
    <w:name w:val="Абзац списка Знак"/>
    <w:basedOn w:val="1"/>
    <w:link w:val="af0"/>
  </w:style>
  <w:style w:type="paragraph" w:styleId="af2">
    <w:name w:val="Title"/>
    <w:next w:val="a"/>
    <w:link w:val="af3"/>
    <w:uiPriority w:val="10"/>
    <w:qFormat/>
    <w:pPr>
      <w:widowControl w:val="0"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7">
    <w:name w:val="Знак примечания1"/>
    <w:basedOn w:val="13"/>
    <w:link w:val="af4"/>
    <w:rPr>
      <w:sz w:val="16"/>
    </w:rPr>
  </w:style>
  <w:style w:type="character" w:styleId="af4">
    <w:name w:val="annotation reference"/>
    <w:basedOn w:val="a0"/>
    <w:link w:val="17"/>
    <w:rPr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p1">
    <w:name w:val="p1"/>
    <w:basedOn w:val="a"/>
    <w:rsid w:val="00C80132"/>
    <w:pPr>
      <w:spacing w:after="0" w:line="240" w:lineRule="auto"/>
    </w:pPr>
    <w:rPr>
      <w:rFonts w:ascii="Times New Roman" w:hAnsi="Times New Roman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52" w:lineRule="auto"/>
    </w:pPr>
  </w:style>
  <w:style w:type="paragraph" w:styleId="10">
    <w:name w:val="heading 1"/>
    <w:next w:val="a"/>
    <w:link w:val="11"/>
    <w:uiPriority w:val="9"/>
    <w:qFormat/>
    <w:pPr>
      <w:widowControl w:val="0"/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widowControl w:val="0"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 w:val="0"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 w:val="0"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 w:val="0"/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widowControl w:val="0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annotation subject"/>
    <w:basedOn w:val="a4"/>
    <w:next w:val="a4"/>
    <w:link w:val="a5"/>
    <w:rPr>
      <w:b/>
    </w:rPr>
  </w:style>
  <w:style w:type="character" w:customStyle="1" w:styleId="a5">
    <w:name w:val="Тема примечания Знак"/>
    <w:basedOn w:val="a6"/>
    <w:link w:val="a3"/>
    <w:rPr>
      <w:b/>
      <w:sz w:val="20"/>
    </w:rPr>
  </w:style>
  <w:style w:type="paragraph" w:styleId="41">
    <w:name w:val="toc 4"/>
    <w:next w:val="a"/>
    <w:link w:val="42"/>
    <w:uiPriority w:val="39"/>
    <w:pPr>
      <w:widowControl w:val="0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 w:val="0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 w:val="0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  <w:uiPriority w:val="99"/>
  </w:style>
  <w:style w:type="paragraph" w:customStyle="1" w:styleId="Endnote">
    <w:name w:val="Endnote"/>
    <w:link w:val="Endnote0"/>
    <w:pPr>
      <w:widowControl w:val="0"/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31">
    <w:name w:val="toc 3"/>
    <w:next w:val="a"/>
    <w:link w:val="32"/>
    <w:uiPriority w:val="39"/>
    <w:pPr>
      <w:widowControl w:val="0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9">
    <w:name w:val="Balloon Text"/>
    <w:basedOn w:val="a"/>
    <w:link w:val="aa"/>
    <w:pPr>
      <w:spacing w:after="0" w:line="240" w:lineRule="auto"/>
    </w:pPr>
    <w:rPr>
      <w:rFonts w:ascii="Segoe UI" w:hAnsi="Segoe UI"/>
      <w:sz w:val="18"/>
    </w:rPr>
  </w:style>
  <w:style w:type="character" w:customStyle="1" w:styleId="aa">
    <w:name w:val="Текст выноски Знак"/>
    <w:basedOn w:val="1"/>
    <w:link w:val="a9"/>
    <w:rPr>
      <w:rFonts w:ascii="Segoe UI" w:hAnsi="Segoe UI"/>
      <w:sz w:val="1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b"/>
    <w:rPr>
      <w:color w:val="0563C1" w:themeColor="hyperlink"/>
      <w:u w:val="single"/>
    </w:rPr>
  </w:style>
  <w:style w:type="character" w:styleId="ab">
    <w:name w:val="Hyperlink"/>
    <w:basedOn w:val="a0"/>
    <w:link w:val="12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widowControl w:val="0"/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pPr>
      <w:widowControl w:val="0"/>
    </w:pPr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13">
    <w:name w:val="Основной шрифт абзаца1"/>
  </w:style>
  <w:style w:type="paragraph" w:customStyle="1" w:styleId="HeaderandFooter">
    <w:name w:val="Header and Footer"/>
    <w:link w:val="HeaderandFooter0"/>
    <w:pPr>
      <w:widowControl w:val="0"/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annotation text"/>
    <w:basedOn w:val="a"/>
    <w:link w:val="a6"/>
    <w:pPr>
      <w:spacing w:line="240" w:lineRule="auto"/>
    </w:pPr>
    <w:rPr>
      <w:sz w:val="20"/>
    </w:rPr>
  </w:style>
  <w:style w:type="character" w:customStyle="1" w:styleId="a6">
    <w:name w:val="Текст примечания Знак"/>
    <w:basedOn w:val="1"/>
    <w:link w:val="a4"/>
    <w:rPr>
      <w:sz w:val="20"/>
    </w:rPr>
  </w:style>
  <w:style w:type="paragraph" w:styleId="9">
    <w:name w:val="toc 9"/>
    <w:next w:val="a"/>
    <w:link w:val="90"/>
    <w:uiPriority w:val="39"/>
    <w:pPr>
      <w:widowControl w:val="0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 w:val="0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6">
    <w:name w:val="Неразрешенное упоминание1"/>
    <w:basedOn w:val="13"/>
    <w:link w:val="23"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link w:val="16"/>
    <w:rPr>
      <w:color w:val="605E5C"/>
      <w:shd w:val="clear" w:color="auto" w:fill="E1DFDD"/>
    </w:rPr>
  </w:style>
  <w:style w:type="paragraph" w:styleId="51">
    <w:name w:val="toc 5"/>
    <w:next w:val="a"/>
    <w:link w:val="52"/>
    <w:uiPriority w:val="39"/>
    <w:pPr>
      <w:widowControl w:val="0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Subtitle"/>
    <w:next w:val="a"/>
    <w:link w:val="af"/>
    <w:uiPriority w:val="11"/>
    <w:qFormat/>
    <w:pPr>
      <w:widowControl w:val="0"/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List Paragraph"/>
    <w:basedOn w:val="a"/>
    <w:link w:val="af1"/>
    <w:pPr>
      <w:ind w:left="720"/>
      <w:contextualSpacing/>
    </w:pPr>
  </w:style>
  <w:style w:type="character" w:customStyle="1" w:styleId="af1">
    <w:name w:val="Абзац списка Знак"/>
    <w:basedOn w:val="1"/>
    <w:link w:val="af0"/>
  </w:style>
  <w:style w:type="paragraph" w:styleId="af2">
    <w:name w:val="Title"/>
    <w:next w:val="a"/>
    <w:link w:val="af3"/>
    <w:uiPriority w:val="10"/>
    <w:qFormat/>
    <w:pPr>
      <w:widowControl w:val="0"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7">
    <w:name w:val="Знак примечания1"/>
    <w:basedOn w:val="13"/>
    <w:link w:val="af4"/>
    <w:rPr>
      <w:sz w:val="16"/>
    </w:rPr>
  </w:style>
  <w:style w:type="character" w:styleId="af4">
    <w:name w:val="annotation reference"/>
    <w:basedOn w:val="a0"/>
    <w:link w:val="17"/>
    <w:rPr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p1">
    <w:name w:val="p1"/>
    <w:basedOn w:val="a"/>
    <w:rsid w:val="00C80132"/>
    <w:pPr>
      <w:spacing w:after="0" w:line="240" w:lineRule="auto"/>
    </w:pPr>
    <w:rPr>
      <w:rFonts w:ascii="Times New Roman" w:hAnsi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370032&amp;dst=4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370032&amp;dst=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ПОГОСЯН Валерий Анатольевич</cp:lastModifiedBy>
  <cp:revision>13</cp:revision>
  <cp:lastPrinted>2026-01-27T11:54:00Z</cp:lastPrinted>
  <dcterms:created xsi:type="dcterms:W3CDTF">2025-12-26T13:19:00Z</dcterms:created>
  <dcterms:modified xsi:type="dcterms:W3CDTF">2026-01-27T11:57:00Z</dcterms:modified>
</cp:coreProperties>
</file>