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ПОЯСНИТЕЛЬНАЯ ЗАПИСКА</w:t>
      </w:r>
    </w:p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к проекту федерального закона «О внесении изменений </w:t>
      </w:r>
    </w:p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в Федеральный закон «О безопасности дорожного движения» </w:t>
      </w:r>
    </w:p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и в Федеральный закон «Об автомобильных дорогах и о дорожной деятельности в Российской Федерации и о внесении изменений </w:t>
      </w:r>
    </w:p>
    <w:p>
      <w:pPr>
        <w:spacing w:after="0" w:line="240" w:lineRule="auto"/>
        <w:jc w:val="center"/>
        <w:rPr>
          <w:rFonts w:ascii="Times New Roman"/>
          <w:b/>
          <w:sz w:val="28"/>
          <w:szCs w:val="28"/>
        </w:rPr>
      </w:pPr>
      <w:r>
        <w:rPr>
          <w:rFonts w:ascii="Times New Roman"/>
          <w:b/>
          <w:sz w:val="28"/>
          <w:szCs w:val="28"/>
        </w:rPr>
        <w:t>в отдельные законодательные акты Российской Федерации»</w:t>
      </w:r>
    </w:p>
    <w:p>
      <w:pPr>
        <w:spacing w:after="0" w:line="240" w:lineRule="auto"/>
        <w:jc w:val="center"/>
        <w:rPr>
          <w:rFonts w:ascii="Times New Roman"/>
          <w:sz w:val="28"/>
          <w:szCs w:val="28"/>
        </w:rPr>
      </w:pP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>Повышение безопасности дорожного движения является важной составляющей обеспечения национальной безопасности и социально-экономического развития Российской Федерации в рамках достижения национальных целей развития Российской Федерации, таких как сохранение населения, укрепление здоровья и повышение благополучия людей, поддержка семьи, а также комфортная и безопасная среда для жизни.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Проект федерального закона «О внесении изменений в Федеральный закон «О безопасности дорожного движения» и в Федеральный закон «Об 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подготовлен во исполнение пункта 6 раздела I протокола заседания Правительственной комиссии по обеспечению безопасности дорожного движения от 17 декабря 2024 г. № 1 и направлен </w:t>
      </w:r>
      <w:r>
        <w:rPr>
          <w:rFonts w:ascii="Times New Roman"/>
          <w:sz w:val="28"/>
          <w:szCs w:val="28"/>
          <w:lang w:eastAsia="ru-RU"/>
        </w:rPr>
        <w:br/>
        <w:t>на реализацию заданных целей Стратегии безопасности дорожного движения на период до 2030 г. и на перспективу до 2036 г., утвержденной в конце 2025 г. (далее – Стратегия).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Несмотря на непрекращающийся рост автомобилизации в Российской Федерации (с 2007 г. по 2025 г. количество автомобилей в стране увеличилось более чем на 25 млн. или на 66,1% и составило более 63 млн. единиц) динамика количества совершаемых дорожно-транспортных происшествий (далее также – ДТП), а также травматизма и смертности в них стабильно снижаются. </w:t>
      </w:r>
      <w:r>
        <w:rPr>
          <w:rFonts w:ascii="Times New Roman"/>
          <w:sz w:val="28"/>
          <w:szCs w:val="28"/>
          <w:lang w:eastAsia="ru-RU"/>
        </w:rPr>
        <w:br/>
        <w:t xml:space="preserve">Так, с 2007 г. по 2025 г. ежегодное количество происходящих в стране ДТП уменьшилось более чем на 105 тыс. единиц или на 45,3% (с 233,8 тыс. </w:t>
      </w:r>
      <w:r>
        <w:rPr>
          <w:rFonts w:ascii="Times New Roman"/>
          <w:sz w:val="28"/>
          <w:szCs w:val="28"/>
          <w:lang w:eastAsia="ru-RU"/>
        </w:rPr>
        <w:br/>
        <w:t>до 127,9 тыс.), ежегодное количество пострадавших в ДТП уменьшилось более чем на 133 тыс. человек или на 45,7% (с 292,2 тыс. человек до 158,8 тыс. человек), ежегодное количество погибших в ДТП уменьшилось более чем</w:t>
      </w:r>
      <w:r>
        <w:rPr>
          <w:rFonts w:ascii="Times New Roman"/>
          <w:sz w:val="28"/>
          <w:szCs w:val="28"/>
          <w:lang w:eastAsia="ru-RU"/>
        </w:rPr>
        <w:br/>
        <w:t xml:space="preserve"> на 19 тыс. человек или на 58,2% (с 33 308 человек до 13 928 человек). 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Вместе с тем ДТП по-прежнему продолжают оставаться одной </w:t>
      </w:r>
      <w:r>
        <w:rPr>
          <w:rFonts w:ascii="Times New Roman"/>
          <w:sz w:val="28"/>
          <w:szCs w:val="28"/>
          <w:lang w:eastAsia="ru-RU"/>
        </w:rPr>
        <w:br/>
        <w:t xml:space="preserve">из ведущих внешних причин смерти детей и лиц трудоспособного возраста, </w:t>
      </w:r>
      <w:r>
        <w:rPr>
          <w:rFonts w:ascii="Times New Roman"/>
          <w:sz w:val="28"/>
          <w:szCs w:val="28"/>
          <w:lang w:eastAsia="ru-RU"/>
        </w:rPr>
        <w:br/>
        <w:t xml:space="preserve">а также входят в число основных причин, препятствующих росту ожидаемой продолжительности жизни. Только в 2024 г. социально-экономический ущерб от ДТП превысил 1,5 трлн. рублей. Релевантный опыт зарубежных стран свидетельствует о том, что чем ниже уровень смертности в результате ДТП, </w:t>
      </w:r>
      <w:r>
        <w:rPr>
          <w:rFonts w:ascii="Times New Roman"/>
          <w:sz w:val="28"/>
          <w:szCs w:val="28"/>
          <w:lang w:eastAsia="ru-RU"/>
        </w:rPr>
        <w:br/>
        <w:t xml:space="preserve">тем сложнее обеспечить дальнейшее его снижение прежними темпами. </w:t>
      </w:r>
      <w:r>
        <w:rPr>
          <w:rFonts w:ascii="Times New Roman"/>
          <w:sz w:val="28"/>
          <w:szCs w:val="28"/>
          <w:lang w:eastAsia="ru-RU"/>
        </w:rPr>
        <w:br/>
        <w:t xml:space="preserve">В то же время основным показателем, предназначенным для оценки состояния безопасности дорожного движения и эффективности реализации Стратегии, </w:t>
      </w:r>
      <w:r>
        <w:rPr>
          <w:rFonts w:ascii="Times New Roman"/>
          <w:sz w:val="28"/>
          <w:szCs w:val="28"/>
          <w:lang w:eastAsia="ru-RU"/>
        </w:rPr>
        <w:lastRenderedPageBreak/>
        <w:t xml:space="preserve">является снижение смертности в результате ДТП в 1,5 раза к 2030 г. </w:t>
      </w:r>
      <w:r>
        <w:rPr>
          <w:rFonts w:ascii="Times New Roman"/>
          <w:sz w:val="28"/>
          <w:szCs w:val="28"/>
          <w:lang w:eastAsia="ru-RU"/>
        </w:rPr>
        <w:br/>
        <w:t>и в 2 раза к 2036 г.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В этой связи для достижения заданных целевых показателей необходимо использовать максимально широкий спектр инструментов по повышению безопасности дорожного движения: законодательство Российской Федерации </w:t>
      </w:r>
      <w:r>
        <w:rPr>
          <w:rFonts w:ascii="Times New Roman"/>
          <w:sz w:val="28"/>
          <w:szCs w:val="28"/>
          <w:lang w:eastAsia="ru-RU"/>
        </w:rPr>
        <w:br/>
        <w:t xml:space="preserve">о безопасности дорожного движения, национальные проекты, в том числе национальный проект «Инфраструктура для жизни» и национальный проект «Продолжительная и активная жизнь», научные исследования; образовательные программы, включающие в себя вопросы обеспечения безопасности дорожного движения; социальные проекты в области обеспечения безопасности дорожного движения и другие. 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На первое место в перечне наиболее актуальных инструментов Стратегия ставит именно меры правового регулирования, а в качестве одного из основных направлений повышения безопасности дорожной инфраструктуры указывает на необходимость развития подходов к определению аварийно-опасных участков дороги (мест концентрации ДТП) и потенциально опасных участков дороги, </w:t>
      </w:r>
      <w:r>
        <w:rPr>
          <w:rFonts w:ascii="Times New Roman"/>
          <w:sz w:val="28"/>
          <w:szCs w:val="28"/>
          <w:lang w:eastAsia="ru-RU"/>
        </w:rPr>
        <w:br/>
        <w:t>а также создание системы мониторинга, в том числе для своевременного принятия мер по предупреждению ДТП.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По итогам совместного с Минтрансом России и МВД России анализа правоприменительной практики выявлено, что в настоящее время установленные Федеральным законом от 10.12.1995 № 196-ФЗ «О безопасности дорожного движения» критерии определения аварийно-опасных участков </w:t>
      </w:r>
      <w:r>
        <w:rPr>
          <w:rFonts w:ascii="Times New Roman"/>
          <w:sz w:val="28"/>
          <w:szCs w:val="28"/>
          <w:lang w:eastAsia="ru-RU"/>
        </w:rPr>
        <w:br/>
        <w:t>не в полной мере корреспондируются с задачей по их выявлению и ликвидации. Кроме того, на сегодня отсутствует методика их установления, а также рекомендации по выработке оперативных и перспективных мероприятий, направленных на устранение причин и условий совершения ДТП в указанных местах.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В настоящее время принципы определения аварийно-опасных участков отличаются друг от друга. Так, один из широко применяемых на практике принципов определения аварийно-опасных участков (участок дороги, улицы, </w:t>
      </w:r>
      <w:r>
        <w:rPr>
          <w:rFonts w:ascii="Times New Roman"/>
          <w:sz w:val="28"/>
          <w:szCs w:val="28"/>
          <w:lang w:eastAsia="ru-RU"/>
        </w:rPr>
        <w:br/>
        <w:t xml:space="preserve">не превышающий 1000 метров, вне населенного пункта или 200 метров </w:t>
      </w:r>
      <w:r>
        <w:rPr>
          <w:rFonts w:ascii="Times New Roman"/>
          <w:sz w:val="28"/>
          <w:szCs w:val="28"/>
          <w:lang w:eastAsia="ru-RU"/>
        </w:rPr>
        <w:br/>
        <w:t xml:space="preserve">в населенном пункте, либо пересечение дорог, где в течение трех последних лет произошло два и более ДТП с погибшими по ключевым причинам) отличается по своим критериям от ряда других имеющихся способов выявления «аварийно-опасных участков» и «потенциально аварийно-опасных участков». На практике это приводит к разным подходам при определении причин </w:t>
      </w:r>
      <w:r>
        <w:rPr>
          <w:rFonts w:ascii="Times New Roman"/>
          <w:sz w:val="28"/>
          <w:szCs w:val="28"/>
          <w:lang w:eastAsia="ru-RU"/>
        </w:rPr>
        <w:br/>
        <w:t>и условий ДТП, выявлении таких участков и формировании планов мероприятий по ликвидации угроз безопасности дорожного движения.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>Учитывая данные факторы, в рамках работы федерального партийного проекта «Безопасные дороги» Партии</w:t>
      </w:r>
      <w:bookmarkStart w:id="0" w:name="_GoBack"/>
      <w:bookmarkEnd w:id="0"/>
      <w:r>
        <w:rPr>
          <w:rFonts w:ascii="Times New Roman"/>
          <w:sz w:val="28"/>
          <w:szCs w:val="28"/>
          <w:lang w:eastAsia="ru-RU"/>
        </w:rPr>
        <w:t xml:space="preserve"> «ЕДИНАЯ РОССИЯ» установлена необходимость более актуального и гибкого определения такого термина как «место концентрации дорожно-транспортных происшествий, аварийно-опасный участок дороги». Также определена потребность закрепления прямой </w:t>
      </w:r>
      <w:r>
        <w:rPr>
          <w:rFonts w:ascii="Times New Roman"/>
          <w:sz w:val="28"/>
          <w:szCs w:val="28"/>
          <w:lang w:eastAsia="ru-RU"/>
        </w:rPr>
        <w:lastRenderedPageBreak/>
        <w:t xml:space="preserve">законодательной нормы об установлении Правительством Российской Федерации порядка определения мест концентрации ДТП, аварийно-опасных участков дорог. В частности, им должно быть предусмотрено оформление сотрудником полиции соответствующей карточки на каждое ДТП, представляющей собой структурированный электронный документ </w:t>
      </w:r>
      <w:r>
        <w:rPr>
          <w:rFonts w:ascii="Times New Roman"/>
          <w:sz w:val="28"/>
          <w:szCs w:val="28"/>
          <w:lang w:eastAsia="ru-RU"/>
        </w:rPr>
        <w:br/>
        <w:t xml:space="preserve">с необходимым набором данных. Кроме того, предлагается законодательно установить автоматический режим передачи сведений из карточки ДТП (ведомственная система «Единая информационно-аналитическая система обеспечения безопасности дорожного движения МВД России») оператору федеральной государственной информационной системы контроля </w:t>
      </w:r>
      <w:r>
        <w:rPr>
          <w:rFonts w:ascii="Times New Roman"/>
          <w:sz w:val="28"/>
          <w:szCs w:val="28"/>
          <w:lang w:eastAsia="ru-RU"/>
        </w:rPr>
        <w:br/>
        <w:t xml:space="preserve">за формированием и использованием средств дорожных фондов </w:t>
      </w:r>
      <w:r>
        <w:rPr>
          <w:rFonts w:ascii="Times New Roman"/>
          <w:sz w:val="28"/>
          <w:szCs w:val="28"/>
          <w:lang w:eastAsia="ru-RU"/>
        </w:rPr>
        <w:br/>
        <w:t xml:space="preserve">(далее – СКДФ) в рамках межведомственного информационного взаимодействия. В самой СКДФ в соответствии с предлагаемыми изменениями будет необходимо отражать не только сведения об аварийно-опасных участках дорог, но и сведения о местах концентрации ДТП с указанием </w:t>
      </w:r>
      <w:r>
        <w:rPr>
          <w:rFonts w:ascii="Times New Roman"/>
          <w:sz w:val="28"/>
          <w:szCs w:val="28"/>
          <w:lang w:eastAsia="ru-RU"/>
        </w:rPr>
        <w:br/>
        <w:t xml:space="preserve">их местоположения, а также информацию из карточек ДТП. 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Отдельно предлагается законодательно закрепить положение, что </w:t>
      </w:r>
      <w:r>
        <w:rPr>
          <w:rFonts w:ascii="Times New Roman"/>
          <w:sz w:val="28"/>
          <w:szCs w:val="28"/>
          <w:lang w:eastAsia="ru-RU"/>
        </w:rPr>
        <w:br/>
        <w:t>при осуществлении дорожной деятельности владельцы автомобильных дорог</w:t>
      </w:r>
      <w:r>
        <w:rPr>
          <w:rFonts w:ascii="Times New Roman"/>
          <w:sz w:val="28"/>
          <w:szCs w:val="28"/>
          <w:lang w:eastAsia="ru-RU"/>
        </w:rPr>
        <w:br/>
        <w:t xml:space="preserve">в течение 30 дней (вместо фактически действующего максимального срока </w:t>
      </w:r>
      <w:r>
        <w:rPr>
          <w:rFonts w:ascii="Times New Roman"/>
          <w:sz w:val="28"/>
          <w:szCs w:val="28"/>
          <w:lang w:eastAsia="ru-RU"/>
        </w:rPr>
        <w:br/>
        <w:t xml:space="preserve">в 1,5 года) с момента определения СКДФ мест концентрации ДТП, аварийно-опасных участков дорог должны осуществлять утверждение (дополнение существующих) программ первоочередных мер, направленных на устранение мест концентрации ДТП, аварийно-опасных участков дорог, а также </w:t>
      </w:r>
      <w:r>
        <w:rPr>
          <w:rFonts w:ascii="Times New Roman"/>
          <w:sz w:val="28"/>
          <w:szCs w:val="28"/>
          <w:lang w:eastAsia="ru-RU"/>
        </w:rPr>
        <w:br/>
        <w:t xml:space="preserve">их реализацию в сроки, предусмотренные такими программами. При этом программа первоочередных мер, направленных на устранение мест концентрации ДТП, аварийно-опасных участков, представляет собой структурированный электронный документ, разрабатываемый и утверждаемый в СКДФ. Кроме того, в случае образования аварийно-опасных участков дорог владельцы автомобильных дорог обязаны принять превентивные меры в рамках работ по содержанию автомобильной дороги по недопущению образования </w:t>
      </w:r>
      <w:r>
        <w:rPr>
          <w:rFonts w:ascii="Times New Roman"/>
          <w:sz w:val="28"/>
          <w:szCs w:val="28"/>
          <w:lang w:eastAsia="ru-RU"/>
        </w:rPr>
        <w:br/>
        <w:t>на таких участках мест концентрации ДТП.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t xml:space="preserve">Комплекс предлагаемых норм существенно улучшит качество и скорость вырабатываемых ответственными органами власти и организациями мер </w:t>
      </w:r>
      <w:r>
        <w:rPr>
          <w:rFonts w:ascii="Times New Roman"/>
          <w:sz w:val="28"/>
          <w:szCs w:val="28"/>
          <w:lang w:eastAsia="ru-RU"/>
        </w:rPr>
        <w:br/>
        <w:t xml:space="preserve">по работе с местами концентрации ДТП. С этой целью предлагается внести соответствующие изменения в Федеральный закон «О безопасности дорожного движения» и в Федеральный закон «Об 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Данный подход установит конкретное и актуальное правовое регулирование важнейшей области общественных отношений в сфере обеспечения безопасности граждан </w:t>
      </w:r>
      <w:r>
        <w:rPr>
          <w:rFonts w:ascii="Times New Roman"/>
          <w:sz w:val="28"/>
          <w:szCs w:val="28"/>
          <w:lang w:eastAsia="ru-RU"/>
        </w:rPr>
        <w:br/>
        <w:t>в процессе дорожного движения, что внесет значительный вклад в обеспечение тенденции по сокращению травматизма и смертности на автодорогах Российской Федерации.</w:t>
      </w:r>
    </w:p>
    <w:p>
      <w:pPr>
        <w:spacing w:after="0"/>
        <w:ind w:firstLine="709"/>
        <w:jc w:val="both"/>
        <w:rPr>
          <w:rFonts w:ascii="Times New Roman"/>
          <w:sz w:val="28"/>
          <w:szCs w:val="28"/>
          <w:lang w:eastAsia="ru-RU"/>
        </w:rPr>
      </w:pPr>
      <w:r>
        <w:rPr>
          <w:rFonts w:ascii="Times New Roman"/>
          <w:sz w:val="28"/>
          <w:szCs w:val="28"/>
          <w:lang w:eastAsia="ru-RU"/>
        </w:rPr>
        <w:lastRenderedPageBreak/>
        <w:t xml:space="preserve">Законопроект не противоречит положениям Договора о Евразийском экономическом союзе, положениям иных международных договоров Российской Федерации, а также не содержит положений, вводящих избыточные </w:t>
      </w:r>
      <w:r>
        <w:rPr>
          <w:rFonts w:ascii="Times New Roman"/>
          <w:sz w:val="28"/>
          <w:szCs w:val="28"/>
          <w:lang w:eastAsia="ru-RU"/>
        </w:rPr>
        <w:br/>
        <w:t xml:space="preserve">административные и иные ограничения для субъектов предпринимательской </w:t>
      </w:r>
      <w:r>
        <w:rPr>
          <w:rFonts w:ascii="Times New Roman"/>
          <w:sz w:val="28"/>
          <w:szCs w:val="28"/>
          <w:lang w:eastAsia="ru-RU"/>
        </w:rPr>
        <w:br/>
        <w:t>и иной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деятельности.</w:t>
      </w:r>
    </w:p>
    <w:sectPr>
      <w:footerReference w:type="default" r:id="rId8"/>
      <w:pgSz w:w="11906" w:h="16838"/>
      <w:pgMar w:top="426" w:right="851" w:bottom="284" w:left="1418" w:header="709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/>
        <w:sz w:val="20"/>
        <w:szCs w:val="20"/>
      </w:rPr>
      <w:id w:val="585349792"/>
      <w:docPartObj>
        <w:docPartGallery w:val="Page Numbers (Bottom of Page)"/>
        <w:docPartUnique/>
      </w:docPartObj>
    </w:sdtPr>
    <w:sdtContent>
      <w:p>
        <w:pPr>
          <w:pStyle w:val="af8"/>
          <w:jc w:val="right"/>
          <w:rPr>
            <w:rFonts w:ascii="Times New Roman"/>
            <w:sz w:val="20"/>
            <w:szCs w:val="20"/>
          </w:rPr>
        </w:pPr>
        <w:r>
          <w:rPr>
            <w:rFonts w:ascii="Times New Roman"/>
            <w:sz w:val="20"/>
            <w:szCs w:val="20"/>
          </w:rPr>
          <w:fldChar w:fldCharType="begin"/>
        </w:r>
        <w:r>
          <w:rPr>
            <w:rFonts w:ascii="Times New Roman"/>
            <w:sz w:val="20"/>
            <w:szCs w:val="20"/>
          </w:rPr>
          <w:instrText>PAGE   \* MERGEFORMAT</w:instrText>
        </w:r>
        <w:r>
          <w:rPr>
            <w:rFonts w:ascii="Times New Roman"/>
            <w:sz w:val="20"/>
            <w:szCs w:val="20"/>
          </w:rPr>
          <w:fldChar w:fldCharType="separate"/>
        </w:r>
        <w:r>
          <w:rPr>
            <w:rFonts w:ascii="Times New Roman"/>
            <w:noProof/>
            <w:sz w:val="20"/>
            <w:szCs w:val="20"/>
          </w:rPr>
          <w:t>2</w:t>
        </w:r>
        <w:r>
          <w:rPr>
            <w:rFonts w:asci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92CF4"/>
    <w:multiLevelType w:val="hybridMultilevel"/>
    <w:tmpl w:val="AAB678D2"/>
    <w:lvl w:ilvl="0" w:tplc="8574300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6534D"/>
    <w:multiLevelType w:val="hybridMultilevel"/>
    <w:tmpl w:val="EC80AF76"/>
    <w:lvl w:ilvl="0" w:tplc="726AE47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351C5"/>
    <w:multiLevelType w:val="hybridMultilevel"/>
    <w:tmpl w:val="81A2C7E4"/>
    <w:lvl w:ilvl="0" w:tplc="0D4A335E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BE46BF6">
      <w:start w:val="1"/>
      <w:numFmt w:val="lowerLetter"/>
      <w:lvlText w:val="%2."/>
      <w:lvlJc w:val="left"/>
      <w:pPr>
        <w:ind w:left="1647" w:hanging="360"/>
      </w:pPr>
    </w:lvl>
    <w:lvl w:ilvl="2" w:tplc="48DC7D46">
      <w:start w:val="1"/>
      <w:numFmt w:val="lowerRoman"/>
      <w:lvlText w:val="%3."/>
      <w:lvlJc w:val="right"/>
      <w:pPr>
        <w:ind w:left="2367" w:hanging="180"/>
      </w:pPr>
    </w:lvl>
    <w:lvl w:ilvl="3" w:tplc="5036917C">
      <w:start w:val="1"/>
      <w:numFmt w:val="decimal"/>
      <w:lvlText w:val="%4."/>
      <w:lvlJc w:val="left"/>
      <w:pPr>
        <w:ind w:left="3087" w:hanging="360"/>
      </w:pPr>
    </w:lvl>
    <w:lvl w:ilvl="4" w:tplc="B0DC7F3A">
      <w:start w:val="1"/>
      <w:numFmt w:val="lowerLetter"/>
      <w:lvlText w:val="%5."/>
      <w:lvlJc w:val="left"/>
      <w:pPr>
        <w:ind w:left="3807" w:hanging="360"/>
      </w:pPr>
    </w:lvl>
    <w:lvl w:ilvl="5" w:tplc="51386B9E">
      <w:start w:val="1"/>
      <w:numFmt w:val="lowerRoman"/>
      <w:lvlText w:val="%6."/>
      <w:lvlJc w:val="right"/>
      <w:pPr>
        <w:ind w:left="4527" w:hanging="180"/>
      </w:pPr>
    </w:lvl>
    <w:lvl w:ilvl="6" w:tplc="2E84CE98">
      <w:start w:val="1"/>
      <w:numFmt w:val="decimal"/>
      <w:lvlText w:val="%7."/>
      <w:lvlJc w:val="left"/>
      <w:pPr>
        <w:ind w:left="5247" w:hanging="360"/>
      </w:pPr>
    </w:lvl>
    <w:lvl w:ilvl="7" w:tplc="3F12FA44">
      <w:start w:val="1"/>
      <w:numFmt w:val="lowerLetter"/>
      <w:lvlText w:val="%8."/>
      <w:lvlJc w:val="left"/>
      <w:pPr>
        <w:ind w:left="5967" w:hanging="360"/>
      </w:pPr>
    </w:lvl>
    <w:lvl w:ilvl="8" w:tplc="A32C46AC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B5D0434"/>
    <w:multiLevelType w:val="hybridMultilevel"/>
    <w:tmpl w:val="D3B8FBEA"/>
    <w:lvl w:ilvl="0" w:tplc="E222EE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DBAC081A">
      <w:start w:val="1"/>
      <w:numFmt w:val="lowerLetter"/>
      <w:lvlText w:val="%2."/>
      <w:lvlJc w:val="left"/>
      <w:pPr>
        <w:ind w:left="1440" w:hanging="360"/>
      </w:pPr>
    </w:lvl>
    <w:lvl w:ilvl="2" w:tplc="4CDA945E">
      <w:start w:val="1"/>
      <w:numFmt w:val="lowerRoman"/>
      <w:lvlText w:val="%3."/>
      <w:lvlJc w:val="right"/>
      <w:pPr>
        <w:ind w:left="2160" w:hanging="180"/>
      </w:pPr>
    </w:lvl>
    <w:lvl w:ilvl="3" w:tplc="4FE8E270">
      <w:start w:val="1"/>
      <w:numFmt w:val="decimal"/>
      <w:lvlText w:val="%4."/>
      <w:lvlJc w:val="left"/>
      <w:pPr>
        <w:ind w:left="2880" w:hanging="360"/>
      </w:pPr>
    </w:lvl>
    <w:lvl w:ilvl="4" w:tplc="8C96D188">
      <w:start w:val="1"/>
      <w:numFmt w:val="lowerLetter"/>
      <w:lvlText w:val="%5."/>
      <w:lvlJc w:val="left"/>
      <w:pPr>
        <w:ind w:left="3600" w:hanging="360"/>
      </w:pPr>
    </w:lvl>
    <w:lvl w:ilvl="5" w:tplc="000054F4">
      <w:start w:val="1"/>
      <w:numFmt w:val="lowerRoman"/>
      <w:lvlText w:val="%6."/>
      <w:lvlJc w:val="right"/>
      <w:pPr>
        <w:ind w:left="4320" w:hanging="180"/>
      </w:pPr>
    </w:lvl>
    <w:lvl w:ilvl="6" w:tplc="70029802">
      <w:start w:val="1"/>
      <w:numFmt w:val="decimal"/>
      <w:lvlText w:val="%7."/>
      <w:lvlJc w:val="left"/>
      <w:pPr>
        <w:ind w:left="5040" w:hanging="360"/>
      </w:pPr>
    </w:lvl>
    <w:lvl w:ilvl="7" w:tplc="2F4609E2">
      <w:start w:val="1"/>
      <w:numFmt w:val="lowerLetter"/>
      <w:lvlText w:val="%8."/>
      <w:lvlJc w:val="left"/>
      <w:pPr>
        <w:ind w:left="5760" w:hanging="360"/>
      </w:pPr>
    </w:lvl>
    <w:lvl w:ilvl="8" w:tplc="A6E066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938FF"/>
    <w:multiLevelType w:val="hybridMultilevel"/>
    <w:tmpl w:val="4B3CBD4C"/>
    <w:lvl w:ilvl="0" w:tplc="E3C0D9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A188E98">
      <w:start w:val="1"/>
      <w:numFmt w:val="lowerLetter"/>
      <w:lvlText w:val="%2."/>
      <w:lvlJc w:val="left"/>
      <w:pPr>
        <w:ind w:left="1440" w:hanging="360"/>
      </w:pPr>
    </w:lvl>
    <w:lvl w:ilvl="2" w:tplc="DE18EB44">
      <w:start w:val="1"/>
      <w:numFmt w:val="lowerRoman"/>
      <w:lvlText w:val="%3."/>
      <w:lvlJc w:val="right"/>
      <w:pPr>
        <w:ind w:left="2160" w:hanging="180"/>
      </w:pPr>
    </w:lvl>
    <w:lvl w:ilvl="3" w:tplc="21A41B9A">
      <w:start w:val="1"/>
      <w:numFmt w:val="decimal"/>
      <w:lvlText w:val="%4."/>
      <w:lvlJc w:val="left"/>
      <w:pPr>
        <w:ind w:left="2880" w:hanging="360"/>
      </w:pPr>
    </w:lvl>
    <w:lvl w:ilvl="4" w:tplc="22DA7A72">
      <w:start w:val="1"/>
      <w:numFmt w:val="lowerLetter"/>
      <w:lvlText w:val="%5."/>
      <w:lvlJc w:val="left"/>
      <w:pPr>
        <w:ind w:left="3600" w:hanging="360"/>
      </w:pPr>
    </w:lvl>
    <w:lvl w:ilvl="5" w:tplc="D2B028A8">
      <w:start w:val="1"/>
      <w:numFmt w:val="lowerRoman"/>
      <w:lvlText w:val="%6."/>
      <w:lvlJc w:val="right"/>
      <w:pPr>
        <w:ind w:left="4320" w:hanging="180"/>
      </w:pPr>
    </w:lvl>
    <w:lvl w:ilvl="6" w:tplc="FCC834AE">
      <w:start w:val="1"/>
      <w:numFmt w:val="decimal"/>
      <w:lvlText w:val="%7."/>
      <w:lvlJc w:val="left"/>
      <w:pPr>
        <w:ind w:left="5040" w:hanging="360"/>
      </w:pPr>
    </w:lvl>
    <w:lvl w:ilvl="7" w:tplc="77DA8048">
      <w:start w:val="1"/>
      <w:numFmt w:val="lowerLetter"/>
      <w:lvlText w:val="%8."/>
      <w:lvlJc w:val="left"/>
      <w:pPr>
        <w:ind w:left="5760" w:hanging="360"/>
      </w:pPr>
    </w:lvl>
    <w:lvl w:ilvl="8" w:tplc="EB105E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82C43"/>
    <w:multiLevelType w:val="hybridMultilevel"/>
    <w:tmpl w:val="DF007E88"/>
    <w:lvl w:ilvl="0" w:tplc="5B821A5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99F84B9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A8A586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EBA8A9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B170B89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1D2709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E250BE1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6340092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62305BA2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C3693F"/>
    <w:multiLevelType w:val="hybridMultilevel"/>
    <w:tmpl w:val="CFB609EE"/>
    <w:lvl w:ilvl="0" w:tplc="334E824E">
      <w:start w:val="1"/>
      <w:numFmt w:val="decimal"/>
      <w:lvlText w:val="%1)"/>
      <w:lvlJc w:val="left"/>
      <w:rPr>
        <w:rFonts w:ascii="Times New Roman" w:eastAsia="Times New Roman" w:hAnsi="Times New Roman" w:cs="Times New Roman"/>
        <w:color w:val="000000"/>
        <w:spacing w:val="4"/>
        <w:sz w:val="25"/>
        <w:u w:val="none"/>
      </w:rPr>
    </w:lvl>
    <w:lvl w:ilvl="1" w:tplc="7FC4E52A">
      <w:start w:val="1"/>
      <w:numFmt w:val="decimal"/>
      <w:lvlText w:val=""/>
      <w:lvlJc w:val="left"/>
    </w:lvl>
    <w:lvl w:ilvl="2" w:tplc="42E0F6EC">
      <w:start w:val="1"/>
      <w:numFmt w:val="decimal"/>
      <w:lvlText w:val=""/>
      <w:lvlJc w:val="left"/>
    </w:lvl>
    <w:lvl w:ilvl="3" w:tplc="6A98D4A6">
      <w:start w:val="1"/>
      <w:numFmt w:val="decimal"/>
      <w:lvlText w:val=""/>
      <w:lvlJc w:val="left"/>
    </w:lvl>
    <w:lvl w:ilvl="4" w:tplc="82A225FC">
      <w:start w:val="1"/>
      <w:numFmt w:val="decimal"/>
      <w:lvlText w:val=""/>
      <w:lvlJc w:val="left"/>
    </w:lvl>
    <w:lvl w:ilvl="5" w:tplc="A328A4E0">
      <w:start w:val="1"/>
      <w:numFmt w:val="decimal"/>
      <w:lvlText w:val=""/>
      <w:lvlJc w:val="left"/>
    </w:lvl>
    <w:lvl w:ilvl="6" w:tplc="AE047010">
      <w:start w:val="1"/>
      <w:numFmt w:val="decimal"/>
      <w:lvlText w:val=""/>
      <w:lvlJc w:val="left"/>
    </w:lvl>
    <w:lvl w:ilvl="7" w:tplc="81B8D872">
      <w:start w:val="1"/>
      <w:numFmt w:val="decimal"/>
      <w:lvlText w:val=""/>
      <w:lvlJc w:val="left"/>
    </w:lvl>
    <w:lvl w:ilvl="8" w:tplc="0A40A41E">
      <w:start w:val="1"/>
      <w:numFmt w:val="decimal"/>
      <w:lvlText w:val=""/>
      <w:lvlJc w:val="left"/>
    </w:lvl>
  </w:abstractNum>
  <w:abstractNum w:abstractNumId="7" w15:restartNumberingAfterBreak="0">
    <w:nsid w:val="640F62FA"/>
    <w:multiLevelType w:val="hybridMultilevel"/>
    <w:tmpl w:val="B844A22E"/>
    <w:lvl w:ilvl="0" w:tplc="2AEAA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4AC9C">
      <w:start w:val="1"/>
      <w:numFmt w:val="lowerLetter"/>
      <w:lvlText w:val="%2."/>
      <w:lvlJc w:val="left"/>
      <w:pPr>
        <w:ind w:left="1440" w:hanging="360"/>
      </w:pPr>
    </w:lvl>
    <w:lvl w:ilvl="2" w:tplc="843A05CC">
      <w:start w:val="1"/>
      <w:numFmt w:val="lowerRoman"/>
      <w:lvlText w:val="%3."/>
      <w:lvlJc w:val="right"/>
      <w:pPr>
        <w:ind w:left="2160" w:hanging="180"/>
      </w:pPr>
    </w:lvl>
    <w:lvl w:ilvl="3" w:tplc="E5EAFCF6">
      <w:start w:val="1"/>
      <w:numFmt w:val="decimal"/>
      <w:lvlText w:val="%4."/>
      <w:lvlJc w:val="left"/>
      <w:pPr>
        <w:ind w:left="2880" w:hanging="360"/>
      </w:pPr>
    </w:lvl>
    <w:lvl w:ilvl="4" w:tplc="29BA2DD4">
      <w:start w:val="1"/>
      <w:numFmt w:val="lowerLetter"/>
      <w:lvlText w:val="%5."/>
      <w:lvlJc w:val="left"/>
      <w:pPr>
        <w:ind w:left="3600" w:hanging="360"/>
      </w:pPr>
    </w:lvl>
    <w:lvl w:ilvl="5" w:tplc="A29CBFC4">
      <w:start w:val="1"/>
      <w:numFmt w:val="lowerRoman"/>
      <w:lvlText w:val="%6."/>
      <w:lvlJc w:val="right"/>
      <w:pPr>
        <w:ind w:left="4320" w:hanging="180"/>
      </w:pPr>
    </w:lvl>
    <w:lvl w:ilvl="6" w:tplc="62A0EB66">
      <w:start w:val="1"/>
      <w:numFmt w:val="decimal"/>
      <w:lvlText w:val="%7."/>
      <w:lvlJc w:val="left"/>
      <w:pPr>
        <w:ind w:left="5040" w:hanging="360"/>
      </w:pPr>
    </w:lvl>
    <w:lvl w:ilvl="7" w:tplc="38044F16">
      <w:start w:val="1"/>
      <w:numFmt w:val="lowerLetter"/>
      <w:lvlText w:val="%8."/>
      <w:lvlJc w:val="left"/>
      <w:pPr>
        <w:ind w:left="5760" w:hanging="360"/>
      </w:pPr>
    </w:lvl>
    <w:lvl w:ilvl="8" w:tplc="57A6DB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C354B2"/>
    <w:multiLevelType w:val="hybridMultilevel"/>
    <w:tmpl w:val="03C013FE"/>
    <w:lvl w:ilvl="0" w:tplc="39D03A2A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AFB41E06">
      <w:start w:val="1"/>
      <w:numFmt w:val="lowerLetter"/>
      <w:lvlText w:val="%2."/>
      <w:lvlJc w:val="left"/>
      <w:pPr>
        <w:ind w:left="2007" w:hanging="360"/>
      </w:pPr>
    </w:lvl>
    <w:lvl w:ilvl="2" w:tplc="38628FF6">
      <w:start w:val="1"/>
      <w:numFmt w:val="lowerRoman"/>
      <w:lvlText w:val="%3."/>
      <w:lvlJc w:val="right"/>
      <w:pPr>
        <w:ind w:left="2727" w:hanging="180"/>
      </w:pPr>
    </w:lvl>
    <w:lvl w:ilvl="3" w:tplc="52C859EA">
      <w:start w:val="1"/>
      <w:numFmt w:val="decimal"/>
      <w:lvlText w:val="%4."/>
      <w:lvlJc w:val="left"/>
      <w:pPr>
        <w:ind w:left="3447" w:hanging="360"/>
      </w:pPr>
    </w:lvl>
    <w:lvl w:ilvl="4" w:tplc="BB2C34DC">
      <w:start w:val="1"/>
      <w:numFmt w:val="lowerLetter"/>
      <w:lvlText w:val="%5."/>
      <w:lvlJc w:val="left"/>
      <w:pPr>
        <w:ind w:left="4167" w:hanging="360"/>
      </w:pPr>
    </w:lvl>
    <w:lvl w:ilvl="5" w:tplc="40E649A6">
      <w:start w:val="1"/>
      <w:numFmt w:val="lowerRoman"/>
      <w:lvlText w:val="%6."/>
      <w:lvlJc w:val="right"/>
      <w:pPr>
        <w:ind w:left="4887" w:hanging="180"/>
      </w:pPr>
    </w:lvl>
    <w:lvl w:ilvl="6" w:tplc="C73E4ABA">
      <w:start w:val="1"/>
      <w:numFmt w:val="decimal"/>
      <w:lvlText w:val="%7."/>
      <w:lvlJc w:val="left"/>
      <w:pPr>
        <w:ind w:left="5607" w:hanging="360"/>
      </w:pPr>
    </w:lvl>
    <w:lvl w:ilvl="7" w:tplc="4014CCE8">
      <w:start w:val="1"/>
      <w:numFmt w:val="lowerLetter"/>
      <w:lvlText w:val="%8."/>
      <w:lvlJc w:val="left"/>
      <w:pPr>
        <w:ind w:left="6327" w:hanging="360"/>
      </w:pPr>
    </w:lvl>
    <w:lvl w:ilvl="8" w:tplc="9294C75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0DA0F-EAA0-45C4-A660-D1110892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Pr>
      <w:rFonts w:ascii="Tahoma" w:hAnsi="Tahoma" w:cs="Tahoma"/>
      <w:sz w:val="16"/>
      <w:szCs w:val="16"/>
    </w:rPr>
  </w:style>
  <w:style w:type="paragraph" w:customStyle="1" w:styleId="af5">
    <w:name w:val="Комментарий"/>
    <w:basedOn w:val="a"/>
    <w:uiPriority w:val="99"/>
    <w:pPr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33">
    <w:name w:val="Основной текст (3) + Малые прописные"/>
    <w:basedOn w:val="a0"/>
    <w:rPr>
      <w:rFonts w:ascii="Times New Roman" w:eastAsia="Times New Roman" w:hAnsi="Times New Roman" w:cs="Times New Roman"/>
      <w:smallCaps/>
      <w:color w:val="000000"/>
      <w:spacing w:val="7"/>
      <w:position w:val="0"/>
      <w:sz w:val="24"/>
      <w:szCs w:val="24"/>
      <w:u w:val="none"/>
      <w:lang w:val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Default">
    <w:name w:val="Default"/>
    <w:pPr>
      <w:spacing w:after="0" w:line="240" w:lineRule="auto"/>
    </w:pPr>
    <w:rPr>
      <w:rFonts w:ascii="Liberation Serif" w:eastAsiaTheme="minorHAnsi" w:hAnsi="Liberation Serif" w:cs="Liberation Serif"/>
      <w:color w:val="000000"/>
      <w:sz w:val="24"/>
      <w:szCs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rPr>
      <w:rFonts w:asciiTheme="minorHAnsi" w:eastAsiaTheme="minorEastAsia" w:hAnsiTheme="minorHAns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basedOn w:val="a"/>
    <w:pPr>
      <w:autoSpaceDE w:val="0"/>
      <w:autoSpaceDN w:val="0"/>
      <w:spacing w:after="0" w:line="240" w:lineRule="auto"/>
    </w:pPr>
    <w:rPr>
      <w:rFonts w:eastAsia="Calibri" w:hAnsi="Calibri"/>
      <w:lang w:eastAsia="ru-RU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7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16A99-23B1-4EF1-840E-0E0E584B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ТЕН Сергей Юрьевич</cp:lastModifiedBy>
  <cp:revision>4</cp:revision>
  <cp:lastPrinted>2026-01-21T18:03:00Z</cp:lastPrinted>
  <dcterms:created xsi:type="dcterms:W3CDTF">2026-01-21T18:02:00Z</dcterms:created>
  <dcterms:modified xsi:type="dcterms:W3CDTF">2026-01-21T18:28:00Z</dcterms:modified>
</cp:coreProperties>
</file>