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widowControl w:val="off"/>
        <w:rPr>
          <w:i/>
          <w:sz w:val="27"/>
          <w:szCs w:val="27"/>
        </w:rPr>
        <w:outlineLvl w:val="2"/>
      </w:pPr>
      <w:r>
        <w:rPr>
          <w:i/>
          <w:sz w:val="27"/>
          <w:szCs w:val="27"/>
        </w:rPr>
      </w:r>
      <w:r>
        <w:rPr>
          <w:i/>
          <w:sz w:val="27"/>
          <w:szCs w:val="27"/>
        </w:rPr>
      </w:r>
    </w:p>
    <w:p>
      <w:pPr>
        <w:jc w:val="both"/>
        <w:spacing w:line="360" w:lineRule="auto"/>
        <w:widowControl w:val="off"/>
        <w:rPr>
          <w:i/>
          <w:sz w:val="27"/>
          <w:szCs w:val="27"/>
        </w:rPr>
        <w:outlineLvl w:val="2"/>
      </w:pPr>
      <w:r>
        <w:rPr>
          <w:i/>
          <w:sz w:val="27"/>
          <w:szCs w:val="27"/>
        </w:rPr>
      </w:r>
      <w:r>
        <w:rPr>
          <w:i/>
          <w:sz w:val="27"/>
          <w:szCs w:val="27"/>
        </w:rPr>
      </w:r>
    </w:p>
    <w:p>
      <w:pPr>
        <w:jc w:val="both"/>
        <w:spacing w:line="360" w:lineRule="auto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widowControl w:val="off"/>
        <w:rPr>
          <w:sz w:val="20"/>
          <w:szCs w:val="28"/>
        </w:rPr>
        <w:outlineLvl w:val="2"/>
      </w:pPr>
      <w:r>
        <w:rPr>
          <w:sz w:val="20"/>
          <w:szCs w:val="28"/>
        </w:rPr>
      </w:r>
      <w:r>
        <w:rPr>
          <w:sz w:val="20"/>
          <w:szCs w:val="28"/>
        </w:rPr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84"/>
        <w:gridCol w:w="4786"/>
      </w:tblGrid>
      <w:tr>
        <w:tblPrEx/>
        <w:trPr>
          <w:tblCellSpacing w:w="0" w:type="dxa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ind w:left="180" w:hanging="180"/>
              <w:jc w:val="both"/>
              <w:spacing w:line="276" w:lineRule="auto"/>
              <w:rPr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  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20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       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мая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             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2026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  </w:t>
            </w:r>
            <w:r>
              <w:rPr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                                         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121-1</w:t>
            </w:r>
            <w:r>
              <w:rPr>
                <w:lang w:eastAsia="en-US"/>
              </w:rPr>
            </w:r>
          </w:p>
        </w:tc>
      </w:tr>
    </w:tbl>
    <w:p>
      <w:pPr>
        <w:ind w:firstLine="709"/>
        <w:jc w:val="both"/>
        <w:spacing w:line="360" w:lineRule="auto"/>
        <w:widowControl w:val="off"/>
        <w:rPr>
          <w:sz w:val="28"/>
          <w:szCs w:val="28"/>
        </w:rPr>
        <w:outlineLvl w:val="2"/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2"/>
      </w:pPr>
      <w:r>
        <w:rPr>
          <w:b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 xml:space="preserve">1126815-8</w:t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2"/>
      </w:pP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О внесени</w:t>
      </w:r>
      <w:r>
        <w:rPr>
          <w:b/>
          <w:bCs/>
          <w:sz w:val="28"/>
          <w:szCs w:val="28"/>
        </w:rPr>
        <w:t xml:space="preserve">и изменений в Федеральный закон</w:t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2"/>
      </w:pP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О молодежной политике в Российской Федерации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  <w:t xml:space="preserve"> и </w:t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Федеральный закон </w:t>
      </w: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О государственной поддержке молодежных и детских общественных объединений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spacing w:val="2"/>
          <w:sz w:val="28"/>
          <w:szCs w:val="28"/>
        </w:rPr>
        <w:outlineLvl w:val="2"/>
      </w:pPr>
      <w:r>
        <w:rPr>
          <w:spacing w:val="2"/>
          <w:sz w:val="28"/>
          <w:szCs w:val="28"/>
        </w:rPr>
        <w:t xml:space="preserve">(</w:t>
      </w:r>
      <w:r>
        <w:rPr>
          <w:spacing w:val="2"/>
          <w:sz w:val="28"/>
          <w:szCs w:val="28"/>
        </w:rPr>
        <w:t xml:space="preserve">в части совершенствования правового регулирования системы поддержки детских и молодежных некоммерческих организаций</w:t>
      </w:r>
      <w:r>
        <w:rPr>
          <w:spacing w:val="2"/>
          <w:sz w:val="28"/>
          <w:szCs w:val="28"/>
        </w:rPr>
        <w:t xml:space="preserve">) </w:t>
      </w:r>
      <w:r>
        <w:rPr>
          <w:spacing w:val="2"/>
          <w:sz w:val="28"/>
          <w:szCs w:val="28"/>
        </w:rPr>
      </w:r>
    </w:p>
    <w:p>
      <w:pPr>
        <w:widowControl w:val="off"/>
        <w:rPr>
          <w:spacing w:val="2"/>
          <w:sz w:val="28"/>
          <w:szCs w:val="28"/>
        </w:rPr>
        <w:outlineLvl w:val="2"/>
      </w:pPr>
      <w:r>
        <w:rPr>
          <w:spacing w:val="2"/>
          <w:sz w:val="28"/>
          <w:szCs w:val="28"/>
        </w:rPr>
      </w:r>
      <w:r>
        <w:rPr>
          <w:spacing w:val="2"/>
          <w:sz w:val="28"/>
          <w:szCs w:val="28"/>
        </w:rPr>
      </w:r>
    </w:p>
    <w:p>
      <w:pPr>
        <w:ind w:firstLine="709"/>
        <w:jc w:val="center"/>
        <w:widowControl w:val="off"/>
        <w:rPr>
          <w:i/>
          <w:color w:val="212121"/>
          <w:spacing w:val="2"/>
          <w:sz w:val="28"/>
          <w:szCs w:val="28"/>
        </w:rPr>
        <w:outlineLvl w:val="2"/>
      </w:pPr>
      <w:r>
        <w:rPr>
          <w:i/>
          <w:color w:val="212121"/>
          <w:spacing w:val="2"/>
          <w:sz w:val="28"/>
          <w:szCs w:val="28"/>
        </w:rPr>
        <w:t xml:space="preserve">внесен депутатами Государственной Думы</w:t>
      </w:r>
      <w:r>
        <w:rPr>
          <w:i/>
          <w:color w:val="212121"/>
          <w:spacing w:val="2"/>
          <w:sz w:val="28"/>
          <w:szCs w:val="28"/>
        </w:rPr>
      </w:r>
    </w:p>
    <w:p>
      <w:pPr>
        <w:ind w:firstLine="709"/>
        <w:jc w:val="center"/>
        <w:widowControl w:val="off"/>
        <w:rPr>
          <w:i/>
          <w:color w:val="212121"/>
          <w:spacing w:val="2"/>
          <w:sz w:val="28"/>
          <w:szCs w:val="28"/>
        </w:rPr>
        <w:outlineLvl w:val="2"/>
      </w:pPr>
      <w:r>
        <w:rPr>
          <w:i/>
          <w:color w:val="212121"/>
          <w:spacing w:val="2"/>
          <w:sz w:val="28"/>
          <w:szCs w:val="28"/>
        </w:rPr>
        <w:t xml:space="preserve">А.П.Метелевым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А.Ю.Кузнецовой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П.О.Толстым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Ю.В.Сарановой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М.С.Киселевым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А.А.Бичаевым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Е.М.Цунаевой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Д.В.Ламейкиным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Б.А.Чернышовым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А.Р.Толмачевым</w:t>
      </w:r>
      <w:r>
        <w:rPr>
          <w:i/>
          <w:color w:val="212121"/>
          <w:spacing w:val="2"/>
          <w:sz w:val="28"/>
          <w:szCs w:val="28"/>
        </w:rPr>
        <w:t xml:space="preserve">,</w:t>
      </w:r>
      <w:r>
        <w:rPr>
          <w:i/>
          <w:color w:val="212121"/>
          <w:spacing w:val="2"/>
          <w:sz w:val="28"/>
          <w:szCs w:val="28"/>
        </w:rPr>
      </w:r>
    </w:p>
    <w:p>
      <w:pPr>
        <w:ind w:firstLine="709"/>
        <w:jc w:val="center"/>
        <w:widowControl w:val="off"/>
        <w:rPr>
          <w:i/>
          <w:color w:val="212121"/>
          <w:spacing w:val="2"/>
          <w:sz w:val="28"/>
          <w:szCs w:val="28"/>
        </w:rPr>
        <w:outlineLvl w:val="2"/>
      </w:pPr>
      <w:r>
        <w:rPr>
          <w:i/>
          <w:color w:val="212121"/>
          <w:spacing w:val="2"/>
          <w:sz w:val="28"/>
          <w:szCs w:val="28"/>
        </w:rPr>
        <w:t xml:space="preserve">сенаторами Российской Федерации </w:t>
      </w:r>
      <w:r>
        <w:rPr>
          <w:i/>
          <w:color w:val="212121"/>
          <w:spacing w:val="2"/>
          <w:sz w:val="28"/>
          <w:szCs w:val="28"/>
        </w:rPr>
        <w:br/>
      </w:r>
      <w:r>
        <w:rPr>
          <w:i/>
          <w:color w:val="212121"/>
          <w:spacing w:val="2"/>
          <w:sz w:val="28"/>
          <w:szCs w:val="28"/>
        </w:rPr>
        <w:t xml:space="preserve">И.Ю.Кастюкевичем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Л.Н.Глебовой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И.Ю.Святенко</w:t>
      </w:r>
      <w:r>
        <w:rPr>
          <w:i/>
          <w:color w:val="212121"/>
          <w:spacing w:val="2"/>
          <w:sz w:val="28"/>
          <w:szCs w:val="28"/>
        </w:rPr>
        <w:t xml:space="preserve">, </w:t>
      </w:r>
      <w:r>
        <w:rPr>
          <w:i/>
          <w:color w:val="212121"/>
          <w:spacing w:val="2"/>
          <w:sz w:val="28"/>
          <w:szCs w:val="28"/>
        </w:rPr>
        <w:t xml:space="preserve">Д.С.Лантратовой</w:t>
      </w:r>
      <w:r>
        <w:rPr>
          <w:i/>
          <w:color w:val="212121"/>
          <w:spacing w:val="2"/>
          <w:sz w:val="28"/>
          <w:szCs w:val="28"/>
        </w:rPr>
        <w:t xml:space="preserve"> </w:t>
      </w:r>
      <w:r>
        <w:rPr>
          <w:i/>
          <w:color w:val="212121"/>
          <w:spacing w:val="2"/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rPr>
          <w:b/>
        </w:rPr>
        <w:outlineLvl w:val="2"/>
      </w:pPr>
      <w:r>
        <w:rPr>
          <w:b/>
        </w:rPr>
      </w:r>
      <w:r>
        <w:rPr>
          <w:b/>
        </w:rPr>
      </w:r>
    </w:p>
    <w:p>
      <w:pPr>
        <w:ind w:firstLine="709"/>
        <w:jc w:val="both"/>
        <w:spacing w:line="276" w:lineRule="auto"/>
        <w:widowControl w:val="off"/>
        <w:tabs>
          <w:tab w:val="left" w:pos="9000" w:leader="none"/>
        </w:tabs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Рассмотрев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измененный </w:t>
      </w:r>
      <w:r>
        <w:rPr>
          <w:sz w:val="28"/>
          <w:szCs w:val="28"/>
          <w:lang w:eastAsia="ar-SA"/>
        </w:rPr>
        <w:t xml:space="preserve">в соответствии с пунктом «а» части шестой статьи 112 Регламента Государственной Думы </w:t>
      </w:r>
      <w:r>
        <w:rPr>
          <w:sz w:val="28"/>
          <w:szCs w:val="28"/>
        </w:rPr>
        <w:t xml:space="preserve">текст </w:t>
      </w:r>
      <w:r>
        <w:rPr>
          <w:sz w:val="28"/>
          <w:szCs w:val="28"/>
        </w:rPr>
        <w:t xml:space="preserve">указанн</w:t>
      </w:r>
      <w:r>
        <w:rPr>
          <w:sz w:val="28"/>
          <w:szCs w:val="28"/>
        </w:rPr>
        <w:t xml:space="preserve">ого</w:t>
      </w:r>
      <w:r>
        <w:rPr>
          <w:sz w:val="28"/>
          <w:szCs w:val="28"/>
        </w:rPr>
        <w:t xml:space="preserve"> проект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</w:t>
      </w:r>
      <w:r>
        <w:rPr>
          <w:sz w:val="28"/>
          <w:szCs w:val="28"/>
        </w:rPr>
        <w:t xml:space="preserve">по молодежной политике </w:t>
      </w:r>
      <w:r>
        <w:rPr>
          <w:b/>
          <w:bCs/>
          <w:color w:val="000000"/>
          <w:spacing w:val="30"/>
          <w:sz w:val="28"/>
          <w:szCs w:val="28"/>
        </w:rPr>
        <w:t xml:space="preserve">решил</w:t>
      </w:r>
      <w:r>
        <w:rPr>
          <w:b/>
          <w:sz w:val="28"/>
          <w:szCs w:val="28"/>
        </w:rPr>
        <w:t xml:space="preserve">:</w:t>
      </w:r>
      <w:r>
        <w:rPr>
          <w:b/>
          <w:sz w:val="28"/>
          <w:szCs w:val="28"/>
        </w:rPr>
      </w:r>
    </w:p>
    <w:p>
      <w:pPr>
        <w:jc w:val="both"/>
        <w:spacing w:line="276" w:lineRule="auto"/>
        <w:widowControl w:val="off"/>
        <w:tabs>
          <w:tab w:val="left" w:pos="900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 Предложить Совету Государственной Думы принять следующ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е решени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ind w:firstLine="708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>
        <w:rPr>
          <w:sz w:val="28"/>
          <w:szCs w:val="28"/>
        </w:rPr>
        <w:t xml:space="preserve">весенней</w:t>
      </w:r>
      <w:r>
        <w:rPr>
          <w:sz w:val="28"/>
          <w:szCs w:val="28"/>
        </w:rPr>
        <w:t xml:space="preserve"> сессии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(</w:t>
      </w:r>
      <w:r>
        <w:rPr>
          <w:sz w:val="28"/>
          <w:szCs w:val="28"/>
        </w:rPr>
        <w:t xml:space="preserve">июнь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в части </w:t>
      </w:r>
      <w:r>
        <w:rPr>
          <w:sz w:val="28"/>
          <w:szCs w:val="28"/>
        </w:rPr>
        <w:t xml:space="preserve">законопроектов, подлежащих первоочередному рассмотрению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8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восьмой статьи 112 Регламента Государственной Думы направить измененный текст законопроекта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комитеты и комиссии Государственной Думы, во фракции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Государственной Думе, Президенту Российской Федерации,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</w:t>
      </w:r>
      <w:r>
        <w:rPr>
          <w:sz w:val="28"/>
          <w:szCs w:val="28"/>
        </w:rPr>
        <w:t xml:space="preserve">органы субъектов Российской Федерации и высшим должностным лицам субъектов Российской Федерации для подготовки отзывов, предложений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и замечаний, а также в Правовое управление Аппарата Государственной Думы для подготовки заключения;</w:t>
      </w:r>
      <w:r>
        <w:rPr>
          <w:sz w:val="28"/>
          <w:szCs w:val="28"/>
        </w:rPr>
      </w:r>
    </w:p>
    <w:p>
      <w:pPr>
        <w:ind w:firstLine="708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представления в </w:t>
      </w:r>
      <w:r>
        <w:rPr>
          <w:sz w:val="28"/>
          <w:szCs w:val="28"/>
        </w:rPr>
        <w:t xml:space="preserve">Комитет Государственной Думы </w:t>
      </w:r>
      <w:r>
        <w:rPr>
          <w:sz w:val="28"/>
          <w:szCs w:val="28"/>
        </w:rPr>
        <w:t xml:space="preserve">по молодежной политике отзывов, предложений и замечан</w:t>
      </w:r>
      <w:r>
        <w:rPr>
          <w:sz w:val="28"/>
          <w:szCs w:val="28"/>
        </w:rPr>
        <w:t xml:space="preserve">ий, а также заключений </w:t>
      </w:r>
      <w:r>
        <w:rPr>
          <w:sz w:val="28"/>
          <w:szCs w:val="28"/>
        </w:rPr>
        <w:t xml:space="preserve">комитетов</w:t>
      </w:r>
      <w:r>
        <w:rPr>
          <w:sz w:val="28"/>
          <w:szCs w:val="28"/>
        </w:rPr>
        <w:t xml:space="preserve">-соисполнител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Правового управления Аппарата Государственной Думы </w:t>
      </w:r>
      <w:r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июня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 года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ind w:firstLine="708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 </w:t>
      </w:r>
      <w:r>
        <w:rPr>
          <w:sz w:val="28"/>
          <w:szCs w:val="28"/>
        </w:rPr>
        <w:t xml:space="preserve">июнь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widowControl w:val="off"/>
        <w:tabs>
          <w:tab w:val="left" w:pos="90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 Направить настоящее Решение, проект федерального закона и материалы к нему на рассмотрение Совета Государственной Думы. 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360" w:lineRule="auto"/>
        <w:widowControl w:val="off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</w:t>
      </w:r>
      <w:r>
        <w:rPr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А.П.Метелев</w:t>
      </w:r>
      <w:r>
        <w:rPr>
          <w:sz w:val="28"/>
          <w:szCs w:val="28"/>
        </w:rPr>
      </w:r>
    </w:p>
    <w:p>
      <w:pPr>
        <w:pStyle w:val="6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418" w:right="1134" w:bottom="1135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5"/>
      <w:rPr>
        <w:rStyle w:val="697"/>
      </w:rPr>
      <w:framePr w:wrap="around" w:vAnchor="text" w:hAnchor="margin" w:xAlign="center" w:y="1"/>
    </w:pPr>
    <w:r>
      <w:rPr>
        <w:rStyle w:val="697"/>
      </w:rPr>
      <w:fldChar w:fldCharType="begin"/>
    </w:r>
    <w:r>
      <w:rPr>
        <w:rStyle w:val="697"/>
      </w:rPr>
      <w:instrText xml:space="preserve">PAGE  </w:instrText>
    </w:r>
    <w:r>
      <w:rPr>
        <w:rStyle w:val="697"/>
      </w:rPr>
      <w:fldChar w:fldCharType="separate"/>
    </w:r>
    <w:r>
      <w:rPr>
        <w:rStyle w:val="697"/>
      </w:rPr>
      <w:t xml:space="preserve">2</w:t>
    </w:r>
    <w:r>
      <w:rPr>
        <w:rStyle w:val="697"/>
      </w:rPr>
      <w:fldChar w:fldCharType="end"/>
    </w:r>
    <w:r>
      <w:rPr>
        <w:rStyle w:val="697"/>
      </w:rPr>
    </w:r>
  </w:p>
  <w:p>
    <w:pPr>
      <w:pStyle w:val="69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5"/>
      <w:rPr>
        <w:rStyle w:val="697"/>
      </w:rPr>
      <w:framePr w:wrap="around" w:vAnchor="text" w:hAnchor="margin" w:xAlign="center" w:y="1"/>
    </w:pPr>
    <w:r>
      <w:rPr>
        <w:rStyle w:val="697"/>
      </w:rPr>
      <w:fldChar w:fldCharType="begin"/>
    </w:r>
    <w:r>
      <w:rPr>
        <w:rStyle w:val="697"/>
      </w:rPr>
      <w:instrText xml:space="preserve">PAGE  </w:instrText>
    </w:r>
    <w:r>
      <w:rPr>
        <w:rStyle w:val="697"/>
      </w:rPr>
      <w:fldChar w:fldCharType="end"/>
    </w:r>
    <w:r>
      <w:rPr>
        <w:rStyle w:val="697"/>
      </w:rPr>
    </w:r>
  </w:p>
  <w:p>
    <w:pPr>
      <w:pStyle w:val="69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0"/>
    <w:link w:val="68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90"/>
    <w:link w:val="689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7"/>
    <w:next w:val="68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9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7"/>
    <w:next w:val="68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9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7"/>
    <w:next w:val="68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9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7"/>
    <w:next w:val="68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9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7"/>
    <w:next w:val="68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9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7"/>
    <w:next w:val="68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9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7"/>
    <w:next w:val="68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9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87"/>
    <w:uiPriority w:val="34"/>
    <w:qFormat/>
    <w:pPr>
      <w:contextualSpacing/>
      <w:ind w:left="720"/>
    </w:pPr>
  </w:style>
  <w:style w:type="paragraph" w:styleId="34">
    <w:name w:val="Title"/>
    <w:basedOn w:val="687"/>
    <w:next w:val="68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90"/>
    <w:link w:val="34"/>
    <w:uiPriority w:val="10"/>
    <w:rPr>
      <w:sz w:val="48"/>
      <w:szCs w:val="48"/>
    </w:rPr>
  </w:style>
  <w:style w:type="paragraph" w:styleId="36">
    <w:name w:val="Subtitle"/>
    <w:basedOn w:val="687"/>
    <w:next w:val="68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90"/>
    <w:link w:val="36"/>
    <w:uiPriority w:val="11"/>
    <w:rPr>
      <w:sz w:val="24"/>
      <w:szCs w:val="24"/>
    </w:rPr>
  </w:style>
  <w:style w:type="paragraph" w:styleId="38">
    <w:name w:val="Quote"/>
    <w:basedOn w:val="687"/>
    <w:next w:val="68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7"/>
    <w:next w:val="68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90"/>
    <w:link w:val="695"/>
    <w:uiPriority w:val="99"/>
  </w:style>
  <w:style w:type="character" w:styleId="45">
    <w:name w:val="Footer Char"/>
    <w:basedOn w:val="690"/>
    <w:link w:val="699"/>
    <w:uiPriority w:val="99"/>
  </w:style>
  <w:style w:type="paragraph" w:styleId="46">
    <w:name w:val="Caption"/>
    <w:basedOn w:val="687"/>
    <w:next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99"/>
    <w:uiPriority w:val="99"/>
  </w:style>
  <w:style w:type="table" w:styleId="48">
    <w:name w:val="Table Grid"/>
    <w:basedOn w:val="69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8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90"/>
    <w:uiPriority w:val="99"/>
    <w:unhideWhenUsed/>
    <w:rPr>
      <w:vertAlign w:val="superscript"/>
    </w:rPr>
  </w:style>
  <w:style w:type="paragraph" w:styleId="178">
    <w:name w:val="endnote text"/>
    <w:basedOn w:val="68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90"/>
    <w:uiPriority w:val="99"/>
    <w:semiHidden/>
    <w:unhideWhenUsed/>
    <w:rPr>
      <w:vertAlign w:val="superscript"/>
    </w:rPr>
  </w:style>
  <w:style w:type="paragraph" w:styleId="181">
    <w:name w:val="toc 1"/>
    <w:basedOn w:val="687"/>
    <w:next w:val="68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7"/>
    <w:next w:val="68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7"/>
    <w:next w:val="68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7"/>
    <w:next w:val="68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7"/>
    <w:next w:val="68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7"/>
    <w:next w:val="68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7"/>
    <w:next w:val="68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7"/>
    <w:next w:val="68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7"/>
    <w:next w:val="68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8">
    <w:name w:val="Heading 1"/>
    <w:basedOn w:val="687"/>
    <w:next w:val="687"/>
    <w:link w:val="698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89">
    <w:name w:val="Heading 2"/>
    <w:basedOn w:val="687"/>
    <w:next w:val="687"/>
    <w:link w:val="694"/>
    <w:qFormat/>
    <w:pPr>
      <w:jc w:val="right"/>
      <w:keepNext/>
      <w:outlineLvl w:val="1"/>
    </w:pPr>
    <w:rPr>
      <w:sz w:val="28"/>
      <w:u w:val="single"/>
    </w:rPr>
  </w:style>
  <w:style w:type="character" w:styleId="690" w:default="1">
    <w:name w:val="Default Paragraph Font"/>
    <w:uiPriority w:val="1"/>
    <w:semiHidden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paragraph" w:styleId="693">
    <w:name w:val="No Spacing"/>
    <w:uiPriority w:val="1"/>
    <w:qFormat/>
    <w:pPr>
      <w:spacing w:after="0" w:line="240" w:lineRule="auto"/>
    </w:pPr>
  </w:style>
  <w:style w:type="character" w:styleId="694" w:customStyle="1">
    <w:name w:val="Заголовок 2 Знак"/>
    <w:basedOn w:val="690"/>
    <w:link w:val="689"/>
    <w:rPr>
      <w:rFonts w:ascii="Times New Roman" w:hAnsi="Times New Roman" w:eastAsia="Times New Roman" w:cs="Times New Roman"/>
      <w:sz w:val="28"/>
      <w:szCs w:val="24"/>
      <w:u w:val="single"/>
      <w:lang w:eastAsia="ru-RU"/>
    </w:rPr>
  </w:style>
  <w:style w:type="paragraph" w:styleId="695">
    <w:name w:val="Header"/>
    <w:basedOn w:val="687"/>
    <w:link w:val="696"/>
    <w:pPr>
      <w:tabs>
        <w:tab w:val="center" w:pos="4677" w:leader="none"/>
        <w:tab w:val="right" w:pos="9355" w:leader="none"/>
      </w:tabs>
    </w:pPr>
  </w:style>
  <w:style w:type="character" w:styleId="696" w:customStyle="1">
    <w:name w:val="Верхний колонтитул Знак"/>
    <w:basedOn w:val="690"/>
    <w:link w:val="69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97">
    <w:name w:val="page number"/>
    <w:basedOn w:val="690"/>
  </w:style>
  <w:style w:type="character" w:styleId="698" w:customStyle="1">
    <w:name w:val="Заголовок 1 Знак"/>
    <w:basedOn w:val="690"/>
    <w:link w:val="688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699">
    <w:name w:val="Footer"/>
    <w:basedOn w:val="687"/>
    <w:link w:val="70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700" w:customStyle="1">
    <w:name w:val="Нижний колонтитул Знак"/>
    <w:basedOn w:val="690"/>
    <w:link w:val="69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Анастасия Сафронова</cp:lastModifiedBy>
  <cp:revision>26</cp:revision>
  <dcterms:created xsi:type="dcterms:W3CDTF">2023-11-09T11:46:00Z</dcterms:created>
  <dcterms:modified xsi:type="dcterms:W3CDTF">2026-05-19T17:04:25Z</dcterms:modified>
</cp:coreProperties>
</file>