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spacing w:line="240" w:lineRule="atLeast"/>
        <w:ind w:firstLine="0"/>
        <w:jc w:val="center"/>
        <w:rPr>
          <w:b w:val="1"/>
        </w:rPr>
      </w:pPr>
      <w:r>
        <w:rPr>
          <w:b w:val="1"/>
        </w:rPr>
        <w:t>ПОЯСНИТЕЛЬНАЯ ЗАПИСКА</w:t>
      </w:r>
    </w:p>
    <w:p w14:paraId="07000000">
      <w:pPr>
        <w:spacing w:line="120" w:lineRule="exact"/>
        <w:ind w:firstLine="0"/>
        <w:jc w:val="center"/>
        <w:rPr>
          <w:b w:val="1"/>
        </w:rPr>
      </w:pPr>
    </w:p>
    <w:p w14:paraId="08000000">
      <w:pPr>
        <w:spacing w:line="240" w:lineRule="atLeast"/>
        <w:ind w:firstLine="0"/>
        <w:jc w:val="center"/>
        <w:rPr>
          <w:b w:val="1"/>
        </w:rPr>
      </w:pPr>
      <w:r>
        <w:rPr>
          <w:b w:val="1"/>
        </w:rPr>
        <w:t>к проекту федерального закона «</w:t>
      </w:r>
      <w:r>
        <w:rPr>
          <w:rStyle w:val="Style_4_ch"/>
          <w:b w:val="1"/>
          <w:sz w:val="28"/>
        </w:rPr>
        <w:t>О внесении изменения в статью 39.5 Земельного кодекса Российской Федерации</w:t>
      </w:r>
      <w:r>
        <w:rPr>
          <w:b w:val="1"/>
        </w:rPr>
        <w:t>»</w:t>
      </w:r>
    </w:p>
    <w:p w14:paraId="09000000">
      <w:pPr>
        <w:spacing w:line="240" w:lineRule="atLeast"/>
        <w:ind w:firstLine="0"/>
        <w:jc w:val="both"/>
      </w:pPr>
    </w:p>
    <w:p w14:paraId="0A000000">
      <w:pPr>
        <w:spacing w:line="360" w:lineRule="atLeast"/>
        <w:ind w:firstLine="709"/>
        <w:jc w:val="both"/>
      </w:pPr>
      <w:r>
        <w:t xml:space="preserve">Проект федерального закона </w:t>
      </w:r>
      <w:r>
        <w:rPr>
          <w:b w:val="1"/>
        </w:rPr>
        <w:t>«</w:t>
      </w:r>
      <w:r>
        <w:t>О внесении изменения в статью 39.5 Земельного кодекса Российской Федерации</w:t>
      </w:r>
      <w:r>
        <w:t>»</w:t>
      </w:r>
      <w:r>
        <w:t xml:space="preserve"> (далее </w:t>
      </w:r>
      <w:r>
        <w:t>–</w:t>
      </w:r>
      <w:r>
        <w:t xml:space="preserve"> законопроект) </w:t>
      </w:r>
      <w:r>
        <w:t xml:space="preserve">разработан в целях </w:t>
      </w:r>
      <w:r>
        <w:t>предоставления</w:t>
      </w:r>
      <w:r>
        <w:t xml:space="preserve"> дополнительной</w:t>
      </w:r>
      <w:r>
        <w:t xml:space="preserve"> поддержки многодетны</w:t>
      </w:r>
      <w:r>
        <w:t>м</w:t>
      </w:r>
      <w:r>
        <w:t xml:space="preserve"> сем</w:t>
      </w:r>
      <w:r>
        <w:t>ьям</w:t>
      </w:r>
      <w:r>
        <w:t xml:space="preserve">. </w:t>
      </w:r>
    </w:p>
    <w:p w14:paraId="0B000000">
      <w:pPr>
        <w:spacing w:line="360" w:lineRule="atLeast"/>
        <w:ind w:firstLine="709"/>
        <w:jc w:val="both"/>
      </w:pPr>
      <w:r>
        <w:t xml:space="preserve">В соответствии с </w:t>
      </w:r>
      <w:r>
        <w:t xml:space="preserve">подпунктом 6 статьи 39.5 </w:t>
      </w:r>
      <w:r>
        <w:t xml:space="preserve">Земельного кодекса Российской Федерации </w:t>
      </w:r>
      <w:r>
        <w:t xml:space="preserve">граждане, имеющие трех и более детей, в случае </w:t>
      </w:r>
      <w:r>
        <w:br/>
      </w:r>
      <w:r>
        <w:t xml:space="preserve">и в порядке, которые установлены органами государственной власти субъектов Российской Федерации, имеют право на бесплатное получение </w:t>
      </w:r>
      <w:r>
        <w:br/>
      </w:r>
      <w:r>
        <w:t>в собственность земельного участка.</w:t>
      </w:r>
    </w:p>
    <w:p w14:paraId="0C000000">
      <w:pPr>
        <w:spacing w:line="360" w:lineRule="atLeast"/>
        <w:ind w:firstLine="709"/>
        <w:jc w:val="both"/>
      </w:pPr>
      <w:r>
        <w:t xml:space="preserve">Вместе с тем </w:t>
      </w:r>
      <w:r>
        <w:t>н</w:t>
      </w:r>
      <w:r>
        <w:t>а практике возникают ситуации, когда такие земельные участ</w:t>
      </w:r>
      <w:r>
        <w:t>к</w:t>
      </w:r>
      <w:r>
        <w:t xml:space="preserve">и предоставляются без </w:t>
      </w:r>
      <w:r>
        <w:t>соответствующей</w:t>
      </w:r>
      <w:r>
        <w:t xml:space="preserve"> инженерной инфраструктуры для дальнейшего строительства и эксплуатации жилых домов</w:t>
      </w:r>
      <w:r>
        <w:t xml:space="preserve">, в связи с чем </w:t>
      </w:r>
      <w:r>
        <w:t xml:space="preserve">граждане вынуждены </w:t>
      </w:r>
      <w:r>
        <w:t>тратить</w:t>
      </w:r>
      <w:r>
        <w:t xml:space="preserve"> собственные средства </w:t>
      </w:r>
      <w:r>
        <w:br/>
      </w:r>
      <w:r>
        <w:t xml:space="preserve">на </w:t>
      </w:r>
      <w:r>
        <w:t>оснащение земельных участков</w:t>
      </w:r>
      <w:r>
        <w:t xml:space="preserve"> необходимыми коммуникациями </w:t>
      </w:r>
      <w:r>
        <w:br/>
      </w:r>
      <w:r>
        <w:t xml:space="preserve">либо </w:t>
      </w:r>
      <w:r>
        <w:t xml:space="preserve">требовать совершения указанных действий </w:t>
      </w:r>
      <w:r>
        <w:t xml:space="preserve">от региональных </w:t>
      </w:r>
      <w:r>
        <w:br/>
      </w:r>
      <w:r>
        <w:t>или муниципальных органов власти в судебном порядке</w:t>
      </w:r>
      <w:r>
        <w:t xml:space="preserve"> в связи </w:t>
      </w:r>
      <w:r>
        <w:br/>
      </w:r>
      <w:r>
        <w:t>с первоначальными отказами</w:t>
      </w:r>
      <w:r>
        <w:t>.</w:t>
      </w:r>
    </w:p>
    <w:p w14:paraId="0D000000">
      <w:pPr>
        <w:spacing w:line="360" w:lineRule="atLeast"/>
        <w:ind w:firstLine="709"/>
        <w:jc w:val="both"/>
      </w:pPr>
      <w:r>
        <w:t xml:space="preserve">Из правовой позиции Конституционного Суда </w:t>
      </w:r>
      <w:r>
        <w:br/>
      </w:r>
      <w:r>
        <w:t xml:space="preserve">Российской Федерации, содержащейся в определении от 09.11.2017 </w:t>
      </w:r>
      <w:r>
        <w:br/>
      </w:r>
      <w:r>
        <w:t>№ 2516-О</w:t>
      </w:r>
      <w:r>
        <w:t>,</w:t>
      </w:r>
      <w:r>
        <w:t xml:space="preserve"> следует, что</w:t>
      </w:r>
      <w:r>
        <w:t xml:space="preserve"> и</w:t>
      </w:r>
      <w:r>
        <w:t xml:space="preserve">менно на органах публичной власти лежит обязанность по благоустройству соответствующих территорий, с тем чтобы земельные участки, предназначенные для оказания государственной поддержки семьям, были по возможности уже на момент их предоставления гражданам (или в течение определенного разумного срока после такого предоставления) снабжены необходимой коммунальной, транспортной </w:t>
      </w:r>
      <w:r>
        <w:t>и иной инфраструктурой, от наличия которой во многом зависит реальная возможность проведения самого индивидуального жилищного строительства, а также последующего пользования вновь возведенным жилым объектом.</w:t>
      </w:r>
    </w:p>
    <w:p w14:paraId="0E000000">
      <w:pPr>
        <w:spacing w:line="360" w:lineRule="atLeast"/>
        <w:ind w:firstLine="709"/>
        <w:jc w:val="both"/>
      </w:pPr>
      <w:r>
        <w:t xml:space="preserve">Многодетные семьи находятся в потенциально наиболее уязвимом социальном положении и нуждаются в особой заботе со стороны государства и общества. В силу конституционных принципов равенства </w:t>
      </w:r>
      <w:r>
        <w:br/>
      </w:r>
      <w:r>
        <w:t xml:space="preserve">и справедливости недопустимо возлагать на самих таких граждан бремя несения дополнительных финансовых затрат, связанных </w:t>
      </w:r>
      <w:r>
        <w:br/>
      </w:r>
      <w:r>
        <w:t>с инфраструктурным оснащением предоставленных земельных участков, поскольку значительная тяжесть такого рода вынужденных расходов может обесценить данную меру социальной поддержки и поставить под сомнение доверие граждан к действиям государства.</w:t>
      </w:r>
    </w:p>
    <w:p w14:paraId="0F000000">
      <w:pPr>
        <w:spacing w:line="360" w:lineRule="atLeast"/>
        <w:ind w:firstLine="709"/>
        <w:jc w:val="both"/>
      </w:pPr>
      <w:r>
        <w:t xml:space="preserve">Однако действующее федеральное законодательство </w:t>
      </w:r>
      <w:r>
        <w:br/>
      </w:r>
      <w:r>
        <w:t>не предусматривает</w:t>
      </w:r>
      <w:r>
        <w:t xml:space="preserve"> требований о наличии необходимых коммуникаций </w:t>
      </w:r>
      <w:r>
        <w:br/>
      </w:r>
      <w:r>
        <w:t>при предоставлении земельных участков.</w:t>
      </w:r>
    </w:p>
    <w:p w14:paraId="10000000">
      <w:pPr>
        <w:spacing w:line="360" w:lineRule="atLeast"/>
        <w:ind w:firstLine="709"/>
        <w:jc w:val="both"/>
      </w:pPr>
      <w:r>
        <w:t xml:space="preserve">В этой связи в целях </w:t>
      </w:r>
      <w:r>
        <w:t xml:space="preserve">разрешения сложившейся проблематики </w:t>
      </w:r>
      <w:r>
        <w:t xml:space="preserve">законопроектом предлагается </w:t>
      </w:r>
      <w:r>
        <w:t xml:space="preserve">закрепить необходимость обеспечения земельных участков, которые предоставляются многодетным семьям, </w:t>
      </w:r>
      <w:r>
        <w:t>подъездными путями и возможностью подключения к сетям инженерно-технического обеспечения</w:t>
      </w:r>
      <w:r>
        <w:t>.</w:t>
      </w:r>
    </w:p>
    <w:p w14:paraId="11000000">
      <w:pPr>
        <w:spacing w:line="360" w:lineRule="atLeast"/>
        <w:ind w:firstLine="709"/>
        <w:jc w:val="both"/>
      </w:pPr>
      <w:r>
        <w:t xml:space="preserve">Расходы, направленные на </w:t>
      </w:r>
      <w:r>
        <w:t xml:space="preserve">обеспечение земельных участков необходимой инфраструктурой, могут быть компенсированы за счет средств </w:t>
      </w:r>
      <w:r>
        <w:t>федерального бюджета в</w:t>
      </w:r>
      <w:r>
        <w:t xml:space="preserve"> случаях и</w:t>
      </w:r>
      <w:r>
        <w:t xml:space="preserve"> порядке,</w:t>
      </w:r>
      <w:r>
        <w:t xml:space="preserve"> которы</w:t>
      </w:r>
      <w:r>
        <w:t>е</w:t>
      </w:r>
      <w:r>
        <w:t xml:space="preserve"> буд</w:t>
      </w:r>
      <w:r>
        <w:t>у</w:t>
      </w:r>
      <w:r>
        <w:t>т</w:t>
      </w:r>
      <w:r>
        <w:t xml:space="preserve"> определ</w:t>
      </w:r>
      <w:r>
        <w:t>ен</w:t>
      </w:r>
      <w:r>
        <w:t>ы</w:t>
      </w:r>
      <w:r>
        <w:t xml:space="preserve"> Правительством Российской Федерации</w:t>
      </w:r>
      <w:r>
        <w:t>.</w:t>
      </w:r>
    </w:p>
    <w:p w14:paraId="12000000">
      <w:pPr>
        <w:spacing w:line="360" w:lineRule="atLeast"/>
        <w:ind w:firstLine="709"/>
        <w:jc w:val="both"/>
      </w:pPr>
      <w:r>
        <w:t xml:space="preserve">Предлагаемая </w:t>
      </w:r>
      <w:r>
        <w:t>инициатив</w:t>
      </w:r>
      <w:r>
        <w:t>а</w:t>
      </w:r>
      <w:r>
        <w:t xml:space="preserve"> является важным шагом к созданию условий для благополучия семей, развития территорий и реализации государственной политики в области поддержки семей и демографического развития.</w:t>
      </w:r>
    </w:p>
    <w:p w14:paraId="13000000">
      <w:pPr>
        <w:spacing w:line="360" w:lineRule="atLeast"/>
        <w:ind w:firstLine="709"/>
        <w:jc w:val="both"/>
      </w:pPr>
      <w:r>
        <w:t>Законопроект соответствует положениям Договора о Евразийском экономическом союзе от 29</w:t>
      </w:r>
      <w:r>
        <w:t>.05.</w:t>
      </w:r>
      <w:r>
        <w:t>2014, а также положениям иных международных договоров Российской Федерации.</w:t>
      </w:r>
    </w:p>
    <w:p w14:paraId="14000000">
      <w:pPr>
        <w:spacing w:line="360" w:lineRule="atLeast"/>
        <w:ind w:firstLine="709"/>
        <w:jc w:val="both"/>
      </w:pPr>
      <w:r>
        <w:t xml:space="preserve">На рассмотрении в палатах Федерального Собрания </w:t>
      </w:r>
      <w:r>
        <w:br/>
      </w:r>
      <w:r>
        <w:t>Российской Федерации отсутствуют проекты федеральных законов (федеральные законы) с аналогичным содержанием.</w:t>
      </w:r>
    </w:p>
    <w:p w14:paraId="15000000">
      <w:pPr>
        <w:spacing w:line="360" w:lineRule="atLeast"/>
        <w:ind w:firstLine="709"/>
        <w:jc w:val="both"/>
      </w:pPr>
    </w:p>
    <w:p w14:paraId="16000000">
      <w:pPr>
        <w:spacing w:line="240" w:lineRule="auto"/>
        <w:ind w:firstLine="0"/>
      </w:pPr>
    </w:p>
    <w:sectPr>
      <w:headerReference r:id="rId1" w:type="default"/>
      <w:headerReference r:id="rId2" w:type="first"/>
      <w:headerReference r:id="rId4" w:type="even"/>
      <w:footerReference r:id="rId3" w:type="first"/>
      <w:type w:val="continuous"/>
      <w:pgSz w:h="16838" w:orient="portrait" w:w="11906"/>
      <w:pgMar w:bottom="1701" w:footer="573" w:gutter="0" w:header="709" w:left="1418" w:right="1418" w:top="141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 w:firstLine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firstLine="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  <w:rPr>
        <w:sz w:val="30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00000">
                          <w:pPr>
                            <w:pStyle w:val="Style_1"/>
                            <w:rPr>
                              <w:rStyle w:val="Style_3_ch"/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line="360" w:lineRule="auto"/>
      <w:ind w:firstLine="720"/>
      <w:jc w:val="left"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annotation subject"/>
    <w:basedOn w:val="Style_11"/>
    <w:next w:val="Style_11"/>
    <w:link w:val="Style_10_ch"/>
    <w:rPr>
      <w:b w:val="1"/>
    </w:rPr>
  </w:style>
  <w:style w:styleId="Style_10_ch" w:type="character">
    <w:name w:val="annotation subject"/>
    <w:basedOn w:val="Style_11_ch"/>
    <w:link w:val="Style_10"/>
    <w:rPr>
      <w:b w:val="1"/>
    </w:rPr>
  </w:style>
  <w:style w:styleId="Style_4" w:type="paragraph">
    <w:name w:val="Font Style12"/>
    <w:link w:val="Style_4_ch"/>
    <w:rPr>
      <w:rFonts w:ascii="Times New Roman" w:hAnsi="Times New Roman"/>
      <w:sz w:val="26"/>
    </w:rPr>
  </w:style>
  <w:style w:styleId="Style_4_ch" w:type="character">
    <w:name w:val="Font Style12"/>
    <w:link w:val="Style_4"/>
    <w:rPr>
      <w:rFonts w:ascii="Times New Roman" w:hAnsi="Times New Roman"/>
      <w:sz w:val="26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1" w:type="paragraph">
    <w:name w:val="annotation text"/>
    <w:basedOn w:val="Style_5"/>
    <w:link w:val="Style_11_ch"/>
    <w:pPr>
      <w:spacing w:line="240" w:lineRule="auto"/>
      <w:ind/>
    </w:pPr>
    <w:rPr>
      <w:sz w:val="20"/>
    </w:rPr>
  </w:style>
  <w:style w:styleId="Style_11_ch" w:type="character">
    <w:name w:val="annotation text"/>
    <w:basedOn w:val="Style_5_ch"/>
    <w:link w:val="Style_11"/>
    <w:rPr>
      <w:sz w:val="20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2_ch" w:type="character">
    <w:name w:val="footer"/>
    <w:basedOn w:val="Style_5_ch"/>
    <w:link w:val="Style_2"/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Balloon Text"/>
    <w:basedOn w:val="Style_5"/>
    <w:link w:val="Style_15_ch"/>
    <w:pPr>
      <w:spacing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5_ch"/>
    <w:link w:val="Style_15"/>
    <w:rPr>
      <w:rFonts w:ascii="Tahoma" w:hAnsi="Tahoma"/>
      <w:sz w:val="16"/>
    </w:rPr>
  </w:style>
  <w:style w:styleId="Style_16" w:type="paragraph">
    <w:name w:val="toc 3"/>
    <w:next w:val="Style_5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3" w:type="paragraph">
    <w:name w:val="page number"/>
    <w:basedOn w:val="Style_14"/>
    <w:link w:val="Style_3_ch"/>
  </w:style>
  <w:style w:styleId="Style_3_ch" w:type="character">
    <w:name w:val="page number"/>
    <w:basedOn w:val="Style_14_ch"/>
    <w:link w:val="Style_3"/>
  </w:style>
  <w:style w:styleId="Style_17" w:type="paragraph">
    <w:name w:val="heading 5"/>
    <w:next w:val="Style_5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14"/>
    <w:link w:val="Style_19_ch"/>
    <w:rPr>
      <w:color w:themeColor="hyperlink" w:val="0000FF"/>
      <w:u w:val="single"/>
    </w:rPr>
  </w:style>
  <w:style w:styleId="Style_19_ch" w:type="character">
    <w:name w:val="Hyperlink"/>
    <w:basedOn w:val="Style_14_ch"/>
    <w:link w:val="Style_19"/>
    <w:rPr>
      <w:color w:themeColor="hyperlink"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header"/>
    <w:basedOn w:val="Style_5_ch"/>
    <w:link w:val="Style_1"/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annotation reference"/>
    <w:basedOn w:val="Style_14"/>
    <w:link w:val="Style_23_ch"/>
    <w:rPr>
      <w:sz w:val="16"/>
    </w:rPr>
  </w:style>
  <w:style w:styleId="Style_23_ch" w:type="character">
    <w:name w:val="annotation reference"/>
    <w:basedOn w:val="Style_14_ch"/>
    <w:link w:val="Style_23"/>
    <w:rPr>
      <w:sz w:val="16"/>
    </w:rPr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5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link w:val="Style_26_ch"/>
    <w:semiHidden w:val="1"/>
    <w:unhideWhenUsed w:val="1"/>
    <w:pPr>
      <w:ind/>
      <w:jc w:val="left"/>
    </w:pPr>
  </w:style>
  <w:style w:styleId="Style_26_ch" w:type="character">
    <w:link w:val="Style_26"/>
    <w:semiHidden w:val="1"/>
    <w:unhideWhenUsed w:val="1"/>
  </w:style>
  <w:style w:styleId="Style_27" w:type="paragraph">
    <w:name w:val="toc 5"/>
    <w:next w:val="Style_5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5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5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5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5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table">
    <w:name w:val="Table Grid"/>
    <w:basedOn w:val="Style_33"/>
    <w:pPr>
      <w:spacing w:line="360" w:lineRule="atLeast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stylesWithEffects.xml" Type="http://schemas.microsoft.com/office/2007/relationships/stylesWithEffects"/>
  <Relationship Id="rId4" Target="header4.xml" Type="http://schemas.openxmlformats.org/officeDocument/2006/relationships/header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2025-08-01T09:29:18Z</dcterms:modified>
</cp:coreProperties>
</file>