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28" w14:textId="02098D6F" w:rsidR="00901B0D" w:rsidRDefault="00845ACC" w:rsidP="00F859AD">
      <w:pPr>
        <w:pBdr>
          <w:top w:val="nil"/>
          <w:left w:val="nil"/>
          <w:bottom w:val="nil"/>
          <w:right w:val="nil"/>
          <w:between w:val="nil"/>
        </w:pBdr>
        <w:tabs>
          <w:tab w:val="left" w:pos="86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ПОЯСНИТЕЛЬНАЯ ЗАПИСКА</w:t>
      </w:r>
    </w:p>
    <w:p w14:paraId="00000029" w14:textId="77777777" w:rsidR="00901B0D" w:rsidRDefault="00845A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 проекту федерального закона</w:t>
      </w:r>
    </w:p>
    <w:p w14:paraId="0000002A" w14:textId="020B7D52" w:rsidR="00901B0D" w:rsidRDefault="00845A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«О внесении изменений в Федеральный закон «Об особенностях изменения условий договора кредита (займа) по требованию заемщика – субъекта малого и среднего предпринимательства или заемщика – физического лица, применяющего специальный налоговый режим «Налог на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 </w:t>
      </w:r>
      <w:r w:rsidR="00CA2A9D">
        <w:rPr>
          <w:rFonts w:ascii="Times New Roman" w:eastAsia="Times New Roman" w:hAnsi="Times New Roman" w:cs="Times New Roman"/>
          <w:b/>
          <w:bCs/>
          <w:sz w:val="28"/>
          <w:szCs w:val="28"/>
        </w:rPr>
        <w:t>профессиональный доход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</w:p>
    <w:p w14:paraId="0000002B" w14:textId="77777777" w:rsidR="00901B0D" w:rsidRDefault="00845ACC" w:rsidP="007050A8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Проект федерального закона подготовлен в целях обеспечения устойчивости субъектов малого предпринимательства в условиях существенного изменения налогового регулирования, роста долговой нагрузки и высокой вероятности массовых нарушений условий кредитных договоров.</w:t>
      </w:r>
    </w:p>
    <w:p w14:paraId="0000002C" w14:textId="12EDB1E9" w:rsidR="00901B0D" w:rsidRDefault="00845ACC" w:rsidP="007050A8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 2023–2025 годы долговая нагрузка российского бизнеса достигла критически высокого уровня: просрочка по корпоративным кредитам выросла до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24 процентов, а общий объём проблемной задолженности приблизился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к 3 триллионам рублей. Более 700 тысяч компаний и индивидуальных предпринимателей уже</w:t>
      </w:r>
      <w:r w:rsidR="002A0CA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наруш</w:t>
      </w:r>
      <w:r w:rsidR="002A0CA0">
        <w:rPr>
          <w:rFonts w:ascii="Times New Roman" w:eastAsia="Times New Roman" w:hAnsi="Times New Roman" w:cs="Times New Roman"/>
          <w:sz w:val="28"/>
          <w:szCs w:val="28"/>
          <w:lang w:val="ru-RU"/>
        </w:rPr>
        <w:t>али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графи</w:t>
      </w:r>
      <w:r w:rsidR="002A0CA0">
        <w:rPr>
          <w:rFonts w:ascii="Times New Roman" w:eastAsia="Times New Roman" w:hAnsi="Times New Roman" w:cs="Times New Roman"/>
          <w:sz w:val="28"/>
          <w:szCs w:val="28"/>
          <w:lang w:val="ru-RU"/>
        </w:rPr>
        <w:t>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платежей. Снижение спроса, рост затрат на персонал, удорожание логистики 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оборудования, а также повышение налоговой нагрузки привели к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существенному сокращению финансовой устойчивости предприятий. </w:t>
      </w:r>
    </w:p>
    <w:p w14:paraId="14CC8FC8" w14:textId="43CEF888" w:rsidR="00DD503C" w:rsidRPr="00DD503C" w:rsidRDefault="00845ACC" w:rsidP="007050A8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Наиболее тяжёлая ситуация сложилась у малого бизнеса, применяющего упрощённую систему налогообложения. Финансовые планы и кредитные обязательства предпринимателей формировались исходя из параметров режима УСН, действовавших на момент заключения договоров, однако изменения налогового законодательства объективно ухудшили экономические условия их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деятельности. С 1 января 2026 года вступает в силу решение о поэтапном снижении максимального размера доходов, позволяющего </w:t>
      </w:r>
      <w:r w:rsidR="00DD503C">
        <w:rPr>
          <w:rFonts w:ascii="Times New Roman" w:eastAsia="Times New Roman" w:hAnsi="Times New Roman" w:cs="Times New Roman"/>
          <w:sz w:val="28"/>
          <w:szCs w:val="28"/>
          <w:lang w:val="ru-RU"/>
        </w:rPr>
        <w:t>не исполнять обязанности плательщика НДС</w:t>
      </w:r>
      <w:r>
        <w:rPr>
          <w:rFonts w:ascii="Times New Roman" w:eastAsia="Times New Roman" w:hAnsi="Times New Roman" w:cs="Times New Roman"/>
          <w:sz w:val="28"/>
          <w:szCs w:val="28"/>
        </w:rPr>
        <w:t>: лимит уменьшается с 60 миллионов рублей до 20 миллионов рублей с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последующим ежегодным сокращением. </w:t>
      </w:r>
    </w:p>
    <w:p w14:paraId="0000002D" w14:textId="61970FD9" w:rsidR="00901B0D" w:rsidRDefault="002A0CA0" w:rsidP="007050A8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Это </w:t>
      </w:r>
      <w:r w:rsidR="00845ACC">
        <w:rPr>
          <w:rFonts w:ascii="Times New Roman" w:eastAsia="Times New Roman" w:hAnsi="Times New Roman" w:cs="Times New Roman"/>
          <w:sz w:val="28"/>
          <w:szCs w:val="28"/>
        </w:rPr>
        <w:t xml:space="preserve">происходит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на фоне </w:t>
      </w:r>
      <w:proofErr w:type="spellStart"/>
      <w:r w:rsidR="00845ACC">
        <w:rPr>
          <w:rFonts w:ascii="Times New Roman" w:eastAsia="Times New Roman" w:hAnsi="Times New Roman" w:cs="Times New Roman"/>
          <w:sz w:val="28"/>
          <w:szCs w:val="28"/>
        </w:rPr>
        <w:t>увеличени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="00845ACC">
        <w:rPr>
          <w:rFonts w:ascii="Times New Roman" w:eastAsia="Times New Roman" w:hAnsi="Times New Roman" w:cs="Times New Roman"/>
          <w:sz w:val="28"/>
          <w:szCs w:val="28"/>
        </w:rPr>
        <w:t xml:space="preserve"> совокупной налоговой нагрузки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бизнес</w:t>
      </w:r>
      <w:r w:rsidR="00845ACC">
        <w:rPr>
          <w:rFonts w:ascii="Times New Roman" w:eastAsia="Times New Roman" w:hAnsi="Times New Roman" w:cs="Times New Roman"/>
          <w:sz w:val="28"/>
          <w:szCs w:val="28"/>
        </w:rPr>
        <w:t xml:space="preserve">, включая рост ставки НДС до 22 процентов, </w:t>
      </w:r>
      <w:proofErr w:type="spellStart"/>
      <w:r w:rsidR="00845ACC">
        <w:rPr>
          <w:rFonts w:ascii="Times New Roman" w:eastAsia="Times New Roman" w:hAnsi="Times New Roman" w:cs="Times New Roman"/>
          <w:sz w:val="28"/>
          <w:szCs w:val="28"/>
        </w:rPr>
        <w:t>удорожани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="00845ACC">
        <w:rPr>
          <w:rFonts w:ascii="Times New Roman" w:eastAsia="Times New Roman" w:hAnsi="Times New Roman" w:cs="Times New Roman"/>
          <w:sz w:val="28"/>
          <w:szCs w:val="28"/>
        </w:rPr>
        <w:t xml:space="preserve"> бухгалтерского сопровождения и </w:t>
      </w:r>
      <w:proofErr w:type="spellStart"/>
      <w:r w:rsidR="00845ACC">
        <w:rPr>
          <w:rFonts w:ascii="Times New Roman" w:eastAsia="Times New Roman" w:hAnsi="Times New Roman" w:cs="Times New Roman"/>
          <w:sz w:val="28"/>
          <w:szCs w:val="28"/>
        </w:rPr>
        <w:t>падени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="00845ACC">
        <w:rPr>
          <w:rFonts w:ascii="Times New Roman" w:eastAsia="Times New Roman" w:hAnsi="Times New Roman" w:cs="Times New Roman"/>
          <w:sz w:val="28"/>
          <w:szCs w:val="28"/>
        </w:rPr>
        <w:t xml:space="preserve"> рентабельности. Указанные изменения не зависят от самих предпринимателей, однако напрямую отражаются на их способности своевременно обслуживать кредитные обязательства. В этих условиях продолжение действия прежних графиков погашения кредитов создаёт риск роста просроченной задолженности, ускорения темпов банкротств и выпадения значительной части малого бизнеса из легального сектора экономики.</w:t>
      </w:r>
    </w:p>
    <w:p w14:paraId="440D0A15" w14:textId="4CCF2256" w:rsidR="00DD503C" w:rsidRPr="00DD503C" w:rsidRDefault="00DD503C" w:rsidP="007050A8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Таким образом</w:t>
      </w:r>
      <w:r w:rsidR="002A0CA0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именно налогоплательщики, применяющие УСН, оказываются наиболее подвержены негативным последствиям планируемых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налоговых изменений в части повышения ставки НДС до 22% и одновременного серьезного снижения порога исполнения обязательств по уплате данного налога, что, может повлечь негативные финансовые и экономические последствия в</w:t>
      </w:r>
      <w:r w:rsidR="002A0CA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отношении организаций, применяющих УСН.</w:t>
      </w:r>
      <w:r w:rsidR="002A0CA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1E2DA2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="002A0CA0">
        <w:rPr>
          <w:rFonts w:ascii="Times New Roman" w:eastAsia="Times New Roman" w:hAnsi="Times New Roman" w:cs="Times New Roman"/>
          <w:sz w:val="28"/>
          <w:szCs w:val="28"/>
          <w:lang w:val="ru-RU"/>
        </w:rPr>
        <w:t>ама обязанность по уплате НДС для организаций, применяющих УСН, при превышении порога доходов в</w:t>
      </w:r>
      <w:r w:rsidR="001E2DA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2A0CA0">
        <w:rPr>
          <w:rFonts w:ascii="Times New Roman" w:eastAsia="Times New Roman" w:hAnsi="Times New Roman" w:cs="Times New Roman"/>
          <w:sz w:val="28"/>
          <w:szCs w:val="28"/>
          <w:lang w:val="ru-RU"/>
        </w:rPr>
        <w:t>60 миллионов рублей, была введена в налоговое законодательство лишь в 2024 году, и многие из таких организаций еще не успели адаптироваться к прошлым изменениям налогового законодательства.</w:t>
      </w:r>
    </w:p>
    <w:p w14:paraId="775892E3" w14:textId="6E7E16BF" w:rsidR="001B2DD2" w:rsidRDefault="001B2DD2" w:rsidP="007050A8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B2DD2">
        <w:rPr>
          <w:rFonts w:ascii="Times New Roman" w:eastAsia="Times New Roman" w:hAnsi="Times New Roman" w:cs="Times New Roman"/>
          <w:sz w:val="28"/>
          <w:szCs w:val="28"/>
        </w:rPr>
        <w:t xml:space="preserve">Законопроект предлагает предоставить предприятиям, применяющим упрощённую систему налогообложения, возможность пользоваться расширенными кредитными каникулами. Предложение о предоставлении кредитных каникул исключительно на срок переходного периода с 1 января 2026 года по 31 декабря 2028 года </w:t>
      </w:r>
      <w:proofErr w:type="spellStart"/>
      <w:r w:rsidRPr="001B2DD2">
        <w:rPr>
          <w:rFonts w:ascii="Times New Roman" w:eastAsia="Times New Roman" w:hAnsi="Times New Roman" w:cs="Times New Roman"/>
          <w:sz w:val="28"/>
          <w:szCs w:val="28"/>
        </w:rPr>
        <w:t>позвол</w:t>
      </w:r>
      <w:proofErr w:type="spellEnd"/>
      <w:r w:rsidR="002A0CA0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1B2DD2">
        <w:rPr>
          <w:rFonts w:ascii="Times New Roman" w:eastAsia="Times New Roman" w:hAnsi="Times New Roman" w:cs="Times New Roman"/>
          <w:sz w:val="28"/>
          <w:szCs w:val="28"/>
        </w:rPr>
        <w:t>т обеспечить предпринимателям необходимый адаптационный интервал для перестройки финансовых моделей и стабилизации хозяйственной деятельности. В отличие от действующего порядка, который допускает не более шести месяцев кредитных каникул и не учитывает последствия изменения налоговых условий, проект предусматривает возможность предоставить их на более длительный срок — до трёх лет, но строго в рамках периода внедрения новых норм. Поскольку сам механизм реформирования УСН предполагает поэтапный переход в течение указанных трёх лет, временное освобождение от начисления процентов на кредитные обязательства является логически вытекающей и экономически обоснованной мерой, направленной на смягчение последствий налоговой реформы без</w:t>
      </w:r>
      <w:r w:rsidR="00170FE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1B2DD2">
        <w:rPr>
          <w:rFonts w:ascii="Times New Roman" w:eastAsia="Times New Roman" w:hAnsi="Times New Roman" w:cs="Times New Roman"/>
          <w:sz w:val="28"/>
          <w:szCs w:val="28"/>
        </w:rPr>
        <w:t>нарушения стабильности финансовой системы.</w:t>
      </w:r>
    </w:p>
    <w:p w14:paraId="0000002F" w14:textId="66D78A16" w:rsidR="00901B0D" w:rsidRDefault="00845ACC" w:rsidP="007050A8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отличие от радикальных вариантов, связанных с возможностью списания кредитов, предлагаемый механизм не создаёт выпадающих доходов у</w:t>
      </w:r>
      <w:r w:rsidR="00170FE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банков, не подрывает финансовую стабильность и не требует финансовых вложений от государства. Для предпринимателей такая мера означает фактическое снижение ежемесячной нагрузки, высвобождение оборотных средств, возможность удержания персонала и поддержания хозяйственной деятельности в момент резкого изменения условий налогообложения. Для кредитных организаций сохраняется стабильность портфеля и исключается необходимость формирования значительных резервов по проблемным обязательствам. Для государства обеспечивается предотвращение массовых банкротств, стабилизация доходной базы и сохранение малого бизнеса как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ключевого элемента экономической структуры.</w:t>
      </w:r>
    </w:p>
    <w:p w14:paraId="21AFCD23" w14:textId="77777777" w:rsidR="00845ACC" w:rsidRDefault="00845ACC" w:rsidP="007050A8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Принятие предлагаемых изменений позволит смягчить последствия реформирования УСН, уменьшить объём просроченной задолженности, сохранить значительную долю предприятий в легальном секторе и обеспечить устойчивость кредитной системы.</w:t>
      </w:r>
    </w:p>
    <w:p w14:paraId="7989903C" w14:textId="77777777" w:rsidR="00845ACC" w:rsidRDefault="00845ACC" w:rsidP="007050A8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Аналогичные проекты федеральных законов в настоящее время в палатах Федерального Собрания Российской Федерации не рассматриваются. Положения законопроекта соответствуют международным обязательствам Российской Федерации и не противоречат положениям международных договоров.</w:t>
      </w:r>
    </w:p>
    <w:p w14:paraId="00000078" w14:textId="1FDB435F" w:rsidR="00901B0D" w:rsidRDefault="00845ACC" w:rsidP="00F859AD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Положения законопроекта соответствуют положениям Договора о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Евразийском экономическом союзе, а также положениям иных международных договоров Российской Федерации.</w:t>
      </w:r>
      <w:r w:rsidR="00F859A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14:paraId="39B45D04" w14:textId="77777777" w:rsidR="00F859AD" w:rsidRPr="00F859AD" w:rsidRDefault="00F859AD" w:rsidP="00F859AD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</w:p>
    <w:sectPr w:rsidR="00F859AD" w:rsidRPr="00F859AD">
      <w:headerReference w:type="default" r:id="rId7"/>
      <w:headerReference w:type="first" r:id="rId8"/>
      <w:pgSz w:w="11906" w:h="16838"/>
      <w:pgMar w:top="1134" w:right="1134" w:bottom="1134" w:left="1134" w:header="709" w:footer="113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D23AED" w14:textId="77777777" w:rsidR="002E5722" w:rsidRDefault="002E5722">
      <w:pPr>
        <w:spacing w:after="0" w:line="240" w:lineRule="auto"/>
      </w:pPr>
      <w:r>
        <w:separator/>
      </w:r>
    </w:p>
  </w:endnote>
  <w:endnote w:type="continuationSeparator" w:id="0">
    <w:p w14:paraId="0BB84955" w14:textId="77777777" w:rsidR="002E5722" w:rsidRDefault="002E57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1" w:fontKey="{830043AD-A5D5-4680-BB15-F4BB74141E07}"/>
    <w:embedBold r:id="rId2" w:fontKey="{1BBDE0B9-888A-4632-8B6D-714D611ADCCC}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F1F85963-C2E7-44B9-AD70-61DDD167793D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4" w:fontKey="{611CF817-40C5-4DE1-8FA4-39C16F00F9B1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B4E274" w14:textId="77777777" w:rsidR="002E5722" w:rsidRDefault="002E5722">
      <w:pPr>
        <w:spacing w:after="0" w:line="240" w:lineRule="auto"/>
      </w:pPr>
      <w:r>
        <w:separator/>
      </w:r>
    </w:p>
  </w:footnote>
  <w:footnote w:type="continuationSeparator" w:id="0">
    <w:p w14:paraId="2303E714" w14:textId="77777777" w:rsidR="002E5722" w:rsidRDefault="002E57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000079" w14:textId="08B4BC6E" w:rsidR="00901B0D" w:rsidRDefault="00845AC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8"/>
        <w:szCs w:val="28"/>
      </w:rPr>
    </w:pP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begin"/>
    </w:r>
    <w:r>
      <w:rPr>
        <w:rFonts w:ascii="Times New Roman" w:eastAsia="Times New Roman" w:hAnsi="Times New Roman" w:cs="Times New Roman"/>
        <w:color w:val="000000"/>
        <w:sz w:val="28"/>
        <w:szCs w:val="28"/>
      </w:rPr>
      <w:instrText>PAGE</w:instrTex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separate"/>
    </w:r>
    <w:r w:rsidR="00F859AD">
      <w:rPr>
        <w:rFonts w:ascii="Times New Roman" w:eastAsia="Times New Roman" w:hAnsi="Times New Roman" w:cs="Times New Roman"/>
        <w:noProof/>
        <w:color w:val="000000"/>
        <w:sz w:val="28"/>
        <w:szCs w:val="28"/>
      </w:rPr>
      <w:t>3</w: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end"/>
    </w:r>
  </w:p>
  <w:p w14:paraId="0000007A" w14:textId="77777777" w:rsidR="00901B0D" w:rsidRDefault="00901B0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rFonts w:ascii="Times New Roman" w:eastAsia="Times New Roman" w:hAnsi="Times New Roman" w:cs="Times New Roman"/>
        <w:color w:val="000000"/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00007B" w14:textId="77777777" w:rsidR="00901B0D" w:rsidRDefault="00901B0D" w:rsidP="001576B5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  <w:p w14:paraId="0000007C" w14:textId="77777777" w:rsidR="00901B0D" w:rsidRDefault="00901B0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B0D"/>
    <w:rsid w:val="000E3671"/>
    <w:rsid w:val="000F28B2"/>
    <w:rsid w:val="001576B5"/>
    <w:rsid w:val="00170FE0"/>
    <w:rsid w:val="001B2DD2"/>
    <w:rsid w:val="001E2DA2"/>
    <w:rsid w:val="00294FA4"/>
    <w:rsid w:val="002A0CA0"/>
    <w:rsid w:val="002E5722"/>
    <w:rsid w:val="00363AFB"/>
    <w:rsid w:val="00462146"/>
    <w:rsid w:val="007050A8"/>
    <w:rsid w:val="00814A26"/>
    <w:rsid w:val="00845ACC"/>
    <w:rsid w:val="00901B0D"/>
    <w:rsid w:val="009A4B29"/>
    <w:rsid w:val="00A248A1"/>
    <w:rsid w:val="00AC0151"/>
    <w:rsid w:val="00C401A1"/>
    <w:rsid w:val="00CA2A9D"/>
    <w:rsid w:val="00D3104E"/>
    <w:rsid w:val="00DD503C"/>
    <w:rsid w:val="00F21562"/>
    <w:rsid w:val="00F85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124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5">
    <w:name w:val="header"/>
    <w:basedOn w:val="a"/>
    <w:link w:val="a6"/>
    <w:uiPriority w:val="99"/>
    <w:unhideWhenUsed/>
    <w:rsid w:val="001576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576B5"/>
  </w:style>
  <w:style w:type="paragraph" w:styleId="a7">
    <w:name w:val="footer"/>
    <w:basedOn w:val="a"/>
    <w:link w:val="a8"/>
    <w:uiPriority w:val="99"/>
    <w:unhideWhenUsed/>
    <w:rsid w:val="001576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576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5">
    <w:name w:val="header"/>
    <w:basedOn w:val="a"/>
    <w:link w:val="a6"/>
    <w:uiPriority w:val="99"/>
    <w:unhideWhenUsed/>
    <w:rsid w:val="001576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576B5"/>
  </w:style>
  <w:style w:type="paragraph" w:styleId="a7">
    <w:name w:val="footer"/>
    <w:basedOn w:val="a"/>
    <w:link w:val="a8"/>
    <w:uiPriority w:val="99"/>
    <w:unhideWhenUsed/>
    <w:rsid w:val="001576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576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820</Words>
  <Characters>4677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ЖЕЛЕЗНОВ Сергей Владимирович</cp:lastModifiedBy>
  <cp:revision>9</cp:revision>
  <dcterms:created xsi:type="dcterms:W3CDTF">2025-11-24T12:20:00Z</dcterms:created>
  <dcterms:modified xsi:type="dcterms:W3CDTF">2025-12-24T08:48:00Z</dcterms:modified>
</cp:coreProperties>
</file>